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B529" w14:textId="7009E2CF" w:rsidR="005362A1" w:rsidRDefault="00D50046" w:rsidP="005362A1">
      <w:pPr>
        <w:jc w:val="center"/>
        <w:outlineLvl w:val="0"/>
        <w:rPr>
          <w:rFonts w:ascii="Arial" w:hAnsi="Arial"/>
          <w:b/>
          <w:sz w:val="36"/>
          <w:szCs w:val="36"/>
          <w:lang w:val="en-AU"/>
        </w:rPr>
      </w:pPr>
      <w:bookmarkStart w:id="0" w:name="_GoBack"/>
      <w:bookmarkEnd w:id="0"/>
      <w:r w:rsidRPr="004D2568">
        <w:rPr>
          <w:rFonts w:ascii="Arial" w:hAnsi="Arial"/>
          <w:b/>
          <w:sz w:val="36"/>
          <w:szCs w:val="36"/>
          <w:lang w:val="en-AU"/>
        </w:rPr>
        <w:t>Keynote Address for UN Day Seminar 2020</w:t>
      </w:r>
    </w:p>
    <w:p w14:paraId="464F04CD" w14:textId="77777777" w:rsidR="00D05B9A" w:rsidRPr="004D2568" w:rsidRDefault="00D05B9A" w:rsidP="005362A1">
      <w:pPr>
        <w:jc w:val="center"/>
        <w:outlineLvl w:val="0"/>
        <w:rPr>
          <w:rFonts w:ascii="Arial" w:hAnsi="Arial"/>
          <w:b/>
          <w:sz w:val="36"/>
          <w:szCs w:val="36"/>
          <w:lang w:val="en-AU"/>
        </w:rPr>
      </w:pPr>
    </w:p>
    <w:p w14:paraId="3326E33B" w14:textId="77777777" w:rsidR="00D50046" w:rsidRPr="004D2568" w:rsidRDefault="00D50046" w:rsidP="003C1EA5">
      <w:pPr>
        <w:jc w:val="center"/>
        <w:outlineLvl w:val="0"/>
        <w:rPr>
          <w:rFonts w:ascii="Arial" w:hAnsi="Arial"/>
          <w:b/>
          <w:i/>
          <w:sz w:val="36"/>
          <w:szCs w:val="36"/>
          <w:lang w:val="en-AU"/>
        </w:rPr>
      </w:pPr>
    </w:p>
    <w:p w14:paraId="75E82ECA" w14:textId="60781200" w:rsidR="00D50046" w:rsidRDefault="00D50046" w:rsidP="003C1EA5">
      <w:pPr>
        <w:jc w:val="center"/>
        <w:outlineLvl w:val="0"/>
        <w:rPr>
          <w:rFonts w:ascii="Arial" w:hAnsi="Arial"/>
          <w:b/>
          <w:i/>
          <w:sz w:val="36"/>
          <w:szCs w:val="36"/>
          <w:lang w:val="en-AU"/>
        </w:rPr>
      </w:pPr>
      <w:r w:rsidRPr="004D2568">
        <w:rPr>
          <w:rFonts w:ascii="Arial" w:hAnsi="Arial"/>
          <w:b/>
          <w:i/>
          <w:sz w:val="36"/>
          <w:szCs w:val="36"/>
          <w:lang w:val="en-AU"/>
        </w:rPr>
        <w:t>“40 Years of Global Harmonisation in International Trade Law”</w:t>
      </w:r>
    </w:p>
    <w:p w14:paraId="7957688E" w14:textId="77777777" w:rsidR="00D05B9A" w:rsidRDefault="00D05B9A" w:rsidP="003C1EA5">
      <w:pPr>
        <w:jc w:val="center"/>
        <w:outlineLvl w:val="0"/>
        <w:rPr>
          <w:rFonts w:ascii="Arial" w:hAnsi="Arial"/>
          <w:b/>
          <w:i/>
          <w:sz w:val="36"/>
          <w:szCs w:val="36"/>
          <w:lang w:val="en-AU"/>
        </w:rPr>
      </w:pPr>
    </w:p>
    <w:p w14:paraId="75413F7A" w14:textId="77777777" w:rsidR="005362A1" w:rsidRDefault="005362A1" w:rsidP="003C1EA5">
      <w:pPr>
        <w:jc w:val="center"/>
        <w:outlineLvl w:val="0"/>
        <w:rPr>
          <w:rFonts w:ascii="Arial" w:hAnsi="Arial"/>
          <w:b/>
          <w:sz w:val="36"/>
          <w:szCs w:val="36"/>
          <w:lang w:val="en-AU"/>
        </w:rPr>
      </w:pPr>
    </w:p>
    <w:p w14:paraId="075F8E34" w14:textId="28E1C372" w:rsidR="005362A1" w:rsidRDefault="00D05B9A" w:rsidP="00B736D5">
      <w:pPr>
        <w:outlineLvl w:val="0"/>
        <w:rPr>
          <w:rFonts w:ascii="Arial" w:hAnsi="Arial"/>
          <w:b/>
          <w:sz w:val="36"/>
          <w:szCs w:val="36"/>
          <w:lang w:val="en-AU"/>
        </w:rPr>
      </w:pPr>
      <w:r>
        <w:rPr>
          <w:rFonts w:ascii="Arial" w:hAnsi="Arial"/>
          <w:b/>
          <w:sz w:val="36"/>
          <w:szCs w:val="36"/>
          <w:lang w:val="en-AU"/>
        </w:rPr>
        <w:t>H</w:t>
      </w:r>
      <w:r w:rsidR="00BF0006">
        <w:rPr>
          <w:rFonts w:ascii="Arial" w:hAnsi="Arial"/>
          <w:b/>
          <w:sz w:val="36"/>
          <w:szCs w:val="36"/>
          <w:lang w:val="en-AU"/>
        </w:rPr>
        <w:t xml:space="preserve">eld on </w:t>
      </w:r>
      <w:r w:rsidR="005362A1">
        <w:rPr>
          <w:rFonts w:ascii="Arial" w:hAnsi="Arial"/>
          <w:b/>
          <w:sz w:val="36"/>
          <w:szCs w:val="36"/>
          <w:lang w:val="en-AU"/>
        </w:rPr>
        <w:t>26 October 2020</w:t>
      </w:r>
      <w:r w:rsidR="00BF0006">
        <w:rPr>
          <w:rFonts w:ascii="Arial" w:hAnsi="Arial"/>
          <w:b/>
          <w:sz w:val="36"/>
          <w:szCs w:val="36"/>
          <w:lang w:val="en-AU"/>
        </w:rPr>
        <w:t xml:space="preserve"> by the UNCITRAL National Co-ordination Committee for Australia (UNCCA) and the Commercial Law Association (CLA)</w:t>
      </w:r>
    </w:p>
    <w:p w14:paraId="7813BC5C" w14:textId="77777777" w:rsidR="00D05B9A" w:rsidRPr="005362A1" w:rsidRDefault="00D05B9A" w:rsidP="00B736D5">
      <w:pPr>
        <w:outlineLvl w:val="0"/>
        <w:rPr>
          <w:rFonts w:ascii="Arial" w:hAnsi="Arial"/>
          <w:b/>
          <w:sz w:val="36"/>
          <w:szCs w:val="36"/>
          <w:lang w:val="en-AU"/>
        </w:rPr>
      </w:pPr>
    </w:p>
    <w:p w14:paraId="78D51400" w14:textId="77777777" w:rsidR="005915AF" w:rsidRDefault="005915AF">
      <w:pPr>
        <w:rPr>
          <w:rFonts w:ascii="Arial" w:hAnsi="Arial"/>
          <w:b/>
          <w:sz w:val="22"/>
          <w:szCs w:val="22"/>
          <w:lang w:val="en-AU"/>
        </w:rPr>
      </w:pPr>
    </w:p>
    <w:p w14:paraId="1F9FA765" w14:textId="03CB4C1D" w:rsidR="00C86A6A" w:rsidRPr="006A11E8" w:rsidRDefault="00C86A6A" w:rsidP="00D05B9A">
      <w:pPr>
        <w:spacing w:after="240"/>
        <w:rPr>
          <w:rFonts w:ascii="Arial" w:hAnsi="Arial"/>
          <w:b/>
          <w:sz w:val="28"/>
          <w:szCs w:val="28"/>
          <w:lang w:val="en-AU"/>
        </w:rPr>
      </w:pPr>
      <w:r>
        <w:rPr>
          <w:rFonts w:ascii="Arial" w:hAnsi="Arial"/>
          <w:b/>
          <w:sz w:val="22"/>
          <w:szCs w:val="22"/>
          <w:lang w:val="en-AU"/>
        </w:rPr>
        <w:t xml:space="preserve">                                                                     </w:t>
      </w:r>
      <w:r>
        <w:rPr>
          <w:rFonts w:ascii="Arial" w:hAnsi="Arial"/>
          <w:b/>
          <w:sz w:val="28"/>
          <w:szCs w:val="28"/>
          <w:lang w:val="en-AU"/>
        </w:rPr>
        <w:t>The Hon Kevin Lindgren AM QC FAAL</w:t>
      </w:r>
    </w:p>
    <w:p w14:paraId="63DF83BD" w14:textId="77777777" w:rsidR="00097D63" w:rsidRDefault="00097D63">
      <w:pPr>
        <w:rPr>
          <w:rFonts w:ascii="Arial" w:hAnsi="Arial"/>
          <w:sz w:val="22"/>
          <w:szCs w:val="22"/>
          <w:lang w:val="en-AU"/>
        </w:rPr>
      </w:pPr>
    </w:p>
    <w:p w14:paraId="5A55A68B" w14:textId="03D52B7E" w:rsidR="00D50046" w:rsidRPr="00C0583A" w:rsidRDefault="00AB0EB8" w:rsidP="00C0583A">
      <w:pPr>
        <w:spacing w:after="240"/>
        <w:rPr>
          <w:rFonts w:ascii="Arial" w:hAnsi="Arial"/>
          <w:b/>
          <w:sz w:val="28"/>
          <w:szCs w:val="28"/>
          <w:lang w:val="en-AU"/>
        </w:rPr>
      </w:pPr>
      <w:r w:rsidRPr="004D2568">
        <w:rPr>
          <w:rFonts w:ascii="Arial" w:hAnsi="Arial"/>
          <w:b/>
          <w:sz w:val="28"/>
          <w:szCs w:val="28"/>
          <w:lang w:val="en-AU"/>
        </w:rPr>
        <w:t>Introduction</w:t>
      </w:r>
    </w:p>
    <w:p w14:paraId="284F3F90" w14:textId="44C29F53" w:rsidR="001C7A14" w:rsidRPr="004D2568" w:rsidRDefault="0040036D" w:rsidP="00C0583A">
      <w:pPr>
        <w:spacing w:after="240" w:line="360" w:lineRule="auto"/>
        <w:rPr>
          <w:rFonts w:ascii="Arial" w:hAnsi="Arial"/>
          <w:sz w:val="28"/>
          <w:szCs w:val="28"/>
          <w:lang w:val="en-AU"/>
        </w:rPr>
      </w:pPr>
      <w:r>
        <w:rPr>
          <w:rFonts w:ascii="Arial" w:hAnsi="Arial"/>
          <w:sz w:val="28"/>
          <w:szCs w:val="28"/>
          <w:lang w:val="en-AU"/>
        </w:rPr>
        <w:t>“</w:t>
      </w:r>
      <w:r w:rsidR="00AB0EB8" w:rsidRPr="004D2568">
        <w:rPr>
          <w:rFonts w:ascii="Arial" w:hAnsi="Arial"/>
          <w:sz w:val="28"/>
          <w:szCs w:val="28"/>
          <w:lang w:val="en-AU"/>
        </w:rPr>
        <w:t>Harmonisation</w:t>
      </w:r>
      <w:r>
        <w:rPr>
          <w:rFonts w:ascii="Arial" w:hAnsi="Arial"/>
          <w:sz w:val="28"/>
          <w:szCs w:val="28"/>
          <w:lang w:val="en-AU"/>
        </w:rPr>
        <w:t>”</w:t>
      </w:r>
      <w:r w:rsidR="00AB0EB8" w:rsidRPr="004D2568">
        <w:rPr>
          <w:rFonts w:ascii="Arial" w:hAnsi="Arial"/>
          <w:sz w:val="28"/>
          <w:szCs w:val="28"/>
          <w:lang w:val="en-AU"/>
        </w:rPr>
        <w:t xml:space="preserve"> has a nice ring to it – favourable connotations – everyone singing from the same song sheet.</w:t>
      </w:r>
    </w:p>
    <w:p w14:paraId="395A91B9" w14:textId="23F23094" w:rsidR="007578AC" w:rsidRPr="004D2568" w:rsidRDefault="00AB0EB8" w:rsidP="00C0583A">
      <w:pPr>
        <w:spacing w:after="240" w:line="360" w:lineRule="auto"/>
        <w:rPr>
          <w:rFonts w:ascii="Arial" w:hAnsi="Arial"/>
          <w:sz w:val="28"/>
          <w:szCs w:val="28"/>
          <w:lang w:val="en-AU"/>
        </w:rPr>
      </w:pPr>
      <w:r w:rsidRPr="004D2568">
        <w:rPr>
          <w:rFonts w:ascii="Arial" w:hAnsi="Arial"/>
          <w:sz w:val="28"/>
          <w:szCs w:val="28"/>
          <w:lang w:val="en-AU"/>
        </w:rPr>
        <w:t xml:space="preserve">The idea of harmonised rules governing the international sale of goods has an obvious appeal – </w:t>
      </w:r>
      <w:r w:rsidR="0040036D">
        <w:rPr>
          <w:rFonts w:ascii="Arial" w:hAnsi="Arial"/>
          <w:sz w:val="28"/>
          <w:szCs w:val="28"/>
          <w:lang w:val="en-AU"/>
        </w:rPr>
        <w:t xml:space="preserve">I suggest that </w:t>
      </w:r>
      <w:r w:rsidRPr="004D2568">
        <w:rPr>
          <w:rFonts w:ascii="Arial" w:hAnsi="Arial"/>
          <w:sz w:val="28"/>
          <w:szCs w:val="28"/>
          <w:lang w:val="en-AU"/>
        </w:rPr>
        <w:t>if it had not been implemented in 1980</w:t>
      </w:r>
      <w:r w:rsidR="0040036D">
        <w:rPr>
          <w:rFonts w:ascii="Arial" w:hAnsi="Arial"/>
          <w:sz w:val="28"/>
          <w:szCs w:val="28"/>
          <w:lang w:val="en-AU"/>
        </w:rPr>
        <w:t xml:space="preserve">, </w:t>
      </w:r>
      <w:r w:rsidR="001512DC">
        <w:rPr>
          <w:rFonts w:ascii="Arial" w:hAnsi="Arial"/>
          <w:sz w:val="28"/>
          <w:szCs w:val="28"/>
          <w:lang w:val="en-AU"/>
        </w:rPr>
        <w:t>surely its time would have come by now.</w:t>
      </w:r>
      <w:r w:rsidR="00A46202">
        <w:rPr>
          <w:rFonts w:ascii="Arial" w:hAnsi="Arial"/>
          <w:sz w:val="28"/>
          <w:szCs w:val="28"/>
          <w:lang w:val="en-AU"/>
        </w:rPr>
        <w:t xml:space="preserve"> </w:t>
      </w:r>
      <w:r w:rsidR="001512DC">
        <w:rPr>
          <w:rFonts w:ascii="Arial" w:hAnsi="Arial"/>
          <w:sz w:val="28"/>
          <w:szCs w:val="28"/>
          <w:lang w:val="en-AU"/>
        </w:rPr>
        <w:t>But</w:t>
      </w:r>
      <w:r w:rsidRPr="004D2568">
        <w:rPr>
          <w:rFonts w:ascii="Arial" w:hAnsi="Arial"/>
          <w:sz w:val="28"/>
          <w:szCs w:val="28"/>
          <w:lang w:val="en-AU"/>
        </w:rPr>
        <w:t xml:space="preserve"> ideas that have a</w:t>
      </w:r>
      <w:r w:rsidR="005362A1">
        <w:rPr>
          <w:rFonts w:ascii="Arial" w:hAnsi="Arial"/>
          <w:sz w:val="28"/>
          <w:szCs w:val="28"/>
          <w:lang w:val="en-AU"/>
        </w:rPr>
        <w:t>n immediate</w:t>
      </w:r>
      <w:r w:rsidRPr="004D2568">
        <w:rPr>
          <w:rFonts w:ascii="Arial" w:hAnsi="Arial"/>
          <w:sz w:val="28"/>
          <w:szCs w:val="28"/>
          <w:lang w:val="en-AU"/>
        </w:rPr>
        <w:t xml:space="preserve"> </w:t>
      </w:r>
      <w:r w:rsidR="001512DC">
        <w:rPr>
          <w:rFonts w:ascii="Arial" w:hAnsi="Arial"/>
          <w:sz w:val="28"/>
          <w:szCs w:val="28"/>
          <w:lang w:val="en-AU"/>
        </w:rPr>
        <w:t xml:space="preserve">and obvious </w:t>
      </w:r>
      <w:r w:rsidRPr="004D2568">
        <w:rPr>
          <w:rFonts w:ascii="Arial" w:hAnsi="Arial"/>
          <w:sz w:val="28"/>
          <w:szCs w:val="28"/>
          <w:lang w:val="en-AU"/>
        </w:rPr>
        <w:t xml:space="preserve">theoretical appeal do not </w:t>
      </w:r>
      <w:r w:rsidR="001512DC">
        <w:rPr>
          <w:rFonts w:ascii="Arial" w:hAnsi="Arial"/>
          <w:sz w:val="28"/>
          <w:szCs w:val="28"/>
          <w:lang w:val="en-AU"/>
        </w:rPr>
        <w:t>necessarily yield</w:t>
      </w:r>
      <w:r w:rsidRPr="004D2568">
        <w:rPr>
          <w:rFonts w:ascii="Arial" w:hAnsi="Arial"/>
          <w:sz w:val="28"/>
          <w:szCs w:val="28"/>
          <w:lang w:val="en-AU"/>
        </w:rPr>
        <w:t xml:space="preserve"> the </w:t>
      </w:r>
      <w:r w:rsidR="000455F9">
        <w:rPr>
          <w:rFonts w:ascii="Arial" w:hAnsi="Arial"/>
          <w:sz w:val="28"/>
          <w:szCs w:val="28"/>
          <w:lang w:val="en-AU"/>
        </w:rPr>
        <w:t xml:space="preserve">widespread </w:t>
      </w:r>
      <w:r w:rsidRPr="004D2568">
        <w:rPr>
          <w:rFonts w:ascii="Arial" w:hAnsi="Arial"/>
          <w:sz w:val="28"/>
          <w:szCs w:val="28"/>
          <w:lang w:val="en-AU"/>
        </w:rPr>
        <w:t>practical benefits that are expected o</w:t>
      </w:r>
      <w:r w:rsidR="005362A1">
        <w:rPr>
          <w:rFonts w:ascii="Arial" w:hAnsi="Arial"/>
          <w:sz w:val="28"/>
          <w:szCs w:val="28"/>
          <w:lang w:val="en-AU"/>
        </w:rPr>
        <w:t>f</w:t>
      </w:r>
      <w:r w:rsidRPr="004D2568">
        <w:rPr>
          <w:rFonts w:ascii="Arial" w:hAnsi="Arial"/>
          <w:sz w:val="28"/>
          <w:szCs w:val="28"/>
          <w:lang w:val="en-AU"/>
        </w:rPr>
        <w:t xml:space="preserve"> them. My reading of critical commentary on the </w:t>
      </w:r>
      <w:r w:rsidRPr="004D2568">
        <w:rPr>
          <w:rFonts w:ascii="Arial" w:hAnsi="Arial"/>
          <w:i/>
          <w:sz w:val="28"/>
          <w:szCs w:val="28"/>
          <w:lang w:val="en-AU"/>
        </w:rPr>
        <w:t xml:space="preserve">UN Convention on Contracts for the International Sale of Goods </w:t>
      </w:r>
      <w:r w:rsidRPr="004D2568">
        <w:rPr>
          <w:rFonts w:ascii="Arial" w:hAnsi="Arial"/>
          <w:sz w:val="28"/>
          <w:szCs w:val="28"/>
          <w:lang w:val="en-AU"/>
        </w:rPr>
        <w:t>(</w:t>
      </w:r>
      <w:r w:rsidR="0001300F">
        <w:rPr>
          <w:rFonts w:ascii="Arial" w:hAnsi="Arial"/>
          <w:sz w:val="28"/>
          <w:szCs w:val="28"/>
          <w:lang w:val="en-AU"/>
        </w:rPr>
        <w:t xml:space="preserve">referred to as the </w:t>
      </w:r>
      <w:r w:rsidR="005362A1">
        <w:rPr>
          <w:rFonts w:ascii="Arial" w:hAnsi="Arial"/>
          <w:sz w:val="28"/>
          <w:szCs w:val="28"/>
          <w:lang w:val="en-AU"/>
        </w:rPr>
        <w:t>“</w:t>
      </w:r>
      <w:r w:rsidRPr="004D2568">
        <w:rPr>
          <w:rFonts w:ascii="Arial" w:hAnsi="Arial"/>
          <w:sz w:val="28"/>
          <w:szCs w:val="28"/>
          <w:lang w:val="en-AU"/>
        </w:rPr>
        <w:t>CISG</w:t>
      </w:r>
      <w:r w:rsidR="005362A1">
        <w:rPr>
          <w:rFonts w:ascii="Arial" w:hAnsi="Arial"/>
          <w:sz w:val="28"/>
          <w:szCs w:val="28"/>
          <w:lang w:val="en-AU"/>
        </w:rPr>
        <w:t>”</w:t>
      </w:r>
      <w:r w:rsidRPr="004D2568">
        <w:rPr>
          <w:rFonts w:ascii="Arial" w:hAnsi="Arial"/>
          <w:sz w:val="28"/>
          <w:szCs w:val="28"/>
          <w:lang w:val="en-AU"/>
        </w:rPr>
        <w:t xml:space="preserve"> and the </w:t>
      </w:r>
      <w:r w:rsidR="005362A1">
        <w:rPr>
          <w:rFonts w:ascii="Arial" w:hAnsi="Arial"/>
          <w:sz w:val="28"/>
          <w:szCs w:val="28"/>
          <w:lang w:val="en-AU"/>
        </w:rPr>
        <w:t>“</w:t>
      </w:r>
      <w:r w:rsidRPr="004D2568">
        <w:rPr>
          <w:rFonts w:ascii="Arial" w:hAnsi="Arial"/>
          <w:sz w:val="28"/>
          <w:szCs w:val="28"/>
          <w:lang w:val="en-AU"/>
        </w:rPr>
        <w:t>Vienna Convention</w:t>
      </w:r>
      <w:r w:rsidR="005362A1">
        <w:rPr>
          <w:rFonts w:ascii="Arial" w:hAnsi="Arial"/>
          <w:sz w:val="28"/>
          <w:szCs w:val="28"/>
          <w:lang w:val="en-AU"/>
        </w:rPr>
        <w:t>”</w:t>
      </w:r>
      <w:r w:rsidRPr="004D2568">
        <w:rPr>
          <w:rFonts w:ascii="Arial" w:hAnsi="Arial"/>
          <w:sz w:val="28"/>
          <w:szCs w:val="28"/>
          <w:lang w:val="en-AU"/>
        </w:rPr>
        <w:t xml:space="preserve">) </w:t>
      </w:r>
      <w:r w:rsidR="0040036D">
        <w:rPr>
          <w:rFonts w:ascii="Arial" w:hAnsi="Arial"/>
          <w:sz w:val="28"/>
          <w:szCs w:val="28"/>
          <w:lang w:val="en-AU"/>
        </w:rPr>
        <w:t>leaves me in a state of uncertainty</w:t>
      </w:r>
      <w:r w:rsidR="001512DC">
        <w:rPr>
          <w:rFonts w:ascii="Arial" w:hAnsi="Arial"/>
          <w:sz w:val="28"/>
          <w:szCs w:val="28"/>
          <w:lang w:val="en-AU"/>
        </w:rPr>
        <w:t xml:space="preserve"> as to how commonly it features in the international sale of goods</w:t>
      </w:r>
      <w:r w:rsidR="0040036D">
        <w:rPr>
          <w:rFonts w:ascii="Arial" w:hAnsi="Arial"/>
          <w:sz w:val="28"/>
          <w:szCs w:val="28"/>
          <w:lang w:val="en-AU"/>
        </w:rPr>
        <w:t xml:space="preserve">. </w:t>
      </w:r>
      <w:r w:rsidR="001512DC">
        <w:rPr>
          <w:rFonts w:ascii="Arial" w:hAnsi="Arial"/>
          <w:sz w:val="28"/>
          <w:szCs w:val="28"/>
          <w:lang w:val="en-AU"/>
        </w:rPr>
        <w:t>Perhaps a</w:t>
      </w:r>
      <w:r w:rsidR="000455F9">
        <w:rPr>
          <w:rFonts w:ascii="Arial" w:hAnsi="Arial"/>
          <w:sz w:val="28"/>
          <w:szCs w:val="28"/>
          <w:lang w:val="en-AU"/>
        </w:rPr>
        <w:t xml:space="preserve"> reason for this is that it is referred to so infrequently in the reported cases—a matter to which I shall return.</w:t>
      </w:r>
    </w:p>
    <w:p w14:paraId="54A67942" w14:textId="1186C70D" w:rsidR="00BF0A9C" w:rsidRPr="004D2568" w:rsidRDefault="00BF0A9C" w:rsidP="003016AB">
      <w:pPr>
        <w:spacing w:line="360" w:lineRule="auto"/>
        <w:rPr>
          <w:rFonts w:ascii="Arial" w:hAnsi="Arial"/>
          <w:sz w:val="28"/>
          <w:szCs w:val="28"/>
          <w:lang w:val="en-AU"/>
        </w:rPr>
      </w:pPr>
      <w:r w:rsidRPr="004D2568">
        <w:rPr>
          <w:rFonts w:ascii="Arial" w:hAnsi="Arial"/>
          <w:b/>
          <w:sz w:val="28"/>
          <w:szCs w:val="28"/>
          <w:lang w:val="en-AU"/>
        </w:rPr>
        <w:t>Origins</w:t>
      </w:r>
    </w:p>
    <w:p w14:paraId="12419882" w14:textId="1D3E7343" w:rsidR="00BF0A9C" w:rsidRPr="004D2568" w:rsidRDefault="00BF0A9C" w:rsidP="00C0583A">
      <w:pPr>
        <w:spacing w:after="240" w:line="360" w:lineRule="auto"/>
        <w:rPr>
          <w:rFonts w:ascii="Arial" w:hAnsi="Arial"/>
          <w:sz w:val="28"/>
          <w:szCs w:val="28"/>
          <w:lang w:val="en-AU"/>
        </w:rPr>
      </w:pPr>
      <w:r w:rsidRPr="004D2568">
        <w:rPr>
          <w:rFonts w:ascii="Arial" w:hAnsi="Arial"/>
          <w:sz w:val="28"/>
          <w:szCs w:val="28"/>
          <w:lang w:val="en-AU"/>
        </w:rPr>
        <w:t>The impetus for the Convention was the great increase in international trade in the twentieth century.</w:t>
      </w:r>
    </w:p>
    <w:p w14:paraId="5BFD7585" w14:textId="7FD88E7A" w:rsidR="00BF0A9C" w:rsidRPr="004D2568" w:rsidRDefault="004D2568" w:rsidP="00C0583A">
      <w:pPr>
        <w:spacing w:after="240" w:line="360" w:lineRule="auto"/>
        <w:rPr>
          <w:rFonts w:ascii="Arial" w:hAnsi="Arial"/>
          <w:sz w:val="28"/>
          <w:szCs w:val="28"/>
          <w:lang w:val="en-AU"/>
        </w:rPr>
      </w:pPr>
      <w:r w:rsidRPr="004D2568">
        <w:rPr>
          <w:rFonts w:ascii="Arial" w:hAnsi="Arial"/>
          <w:sz w:val="28"/>
          <w:szCs w:val="28"/>
          <w:lang w:val="en-AU"/>
        </w:rPr>
        <w:lastRenderedPageBreak/>
        <w:t>The desirability of uniformity in international sales law was recognised in the 1920s, and by 1930 the International Institute for the Unification of Private Law (UNIDROIT), under the auspices of the League of Nations</w:t>
      </w:r>
      <w:r w:rsidR="001512DC">
        <w:rPr>
          <w:rFonts w:ascii="Arial" w:hAnsi="Arial"/>
          <w:sz w:val="28"/>
          <w:szCs w:val="28"/>
          <w:lang w:val="en-AU"/>
        </w:rPr>
        <w:t>,</w:t>
      </w:r>
      <w:r w:rsidRPr="004D2568">
        <w:rPr>
          <w:rFonts w:ascii="Arial" w:hAnsi="Arial"/>
          <w:sz w:val="28"/>
          <w:szCs w:val="28"/>
          <w:lang w:val="en-AU"/>
        </w:rPr>
        <w:t xml:space="preserve"> began work </w:t>
      </w:r>
      <w:r w:rsidR="001512DC">
        <w:rPr>
          <w:rFonts w:ascii="Arial" w:hAnsi="Arial"/>
          <w:sz w:val="28"/>
          <w:szCs w:val="28"/>
          <w:lang w:val="en-AU"/>
        </w:rPr>
        <w:t>directed to establishing</w:t>
      </w:r>
      <w:r w:rsidRPr="004D2568">
        <w:rPr>
          <w:rFonts w:ascii="Arial" w:hAnsi="Arial"/>
          <w:sz w:val="28"/>
          <w:szCs w:val="28"/>
          <w:lang w:val="en-AU"/>
        </w:rPr>
        <w:t xml:space="preserve"> a treaty that would harmonise the law of international sales</w:t>
      </w:r>
      <w:r w:rsidR="001512DC">
        <w:rPr>
          <w:rFonts w:ascii="Arial" w:hAnsi="Arial"/>
          <w:sz w:val="28"/>
          <w:szCs w:val="28"/>
          <w:lang w:val="en-AU"/>
        </w:rPr>
        <w:t xml:space="preserve"> of goods</w:t>
      </w:r>
      <w:r w:rsidRPr="004D2568">
        <w:rPr>
          <w:rFonts w:ascii="Arial" w:hAnsi="Arial"/>
          <w:sz w:val="28"/>
          <w:szCs w:val="28"/>
          <w:lang w:val="en-AU"/>
        </w:rPr>
        <w:t>.</w:t>
      </w:r>
    </w:p>
    <w:p w14:paraId="6BA42CD7" w14:textId="31DEE6EA" w:rsidR="00BF0A9C" w:rsidRPr="004D2568" w:rsidRDefault="00BF0A9C" w:rsidP="00C0583A">
      <w:pPr>
        <w:spacing w:after="240" w:line="360" w:lineRule="auto"/>
        <w:rPr>
          <w:rFonts w:ascii="Arial" w:hAnsi="Arial"/>
          <w:sz w:val="28"/>
          <w:szCs w:val="28"/>
          <w:lang w:val="en-AU"/>
        </w:rPr>
      </w:pPr>
      <w:r w:rsidRPr="004D2568">
        <w:rPr>
          <w:rFonts w:ascii="Arial" w:hAnsi="Arial"/>
          <w:sz w:val="28"/>
          <w:szCs w:val="28"/>
          <w:lang w:val="en-AU"/>
        </w:rPr>
        <w:t>In 1964 two treaties arose out of a conference of interested nations at the Hague, but did not gain widespread acceptance.</w:t>
      </w:r>
      <w:r w:rsidR="001512DC">
        <w:rPr>
          <w:rFonts w:ascii="Arial" w:hAnsi="Arial"/>
          <w:sz w:val="28"/>
          <w:szCs w:val="28"/>
          <w:lang w:val="en-AU"/>
        </w:rPr>
        <w:t xml:space="preserve"> They were a </w:t>
      </w:r>
      <w:r w:rsidR="001512DC" w:rsidRPr="007D0393">
        <w:rPr>
          <w:rFonts w:ascii="Arial" w:hAnsi="Arial"/>
          <w:i/>
          <w:sz w:val="28"/>
          <w:szCs w:val="28"/>
          <w:lang w:val="en-AU"/>
        </w:rPr>
        <w:t xml:space="preserve">Convention </w:t>
      </w:r>
      <w:r w:rsidR="0071779A" w:rsidRPr="0071779A">
        <w:rPr>
          <w:rFonts w:ascii="Arial" w:hAnsi="Arial"/>
          <w:i/>
          <w:sz w:val="28"/>
          <w:szCs w:val="28"/>
          <w:lang w:val="en-AU"/>
        </w:rPr>
        <w:t>R</w:t>
      </w:r>
      <w:r w:rsidR="001512DC" w:rsidRPr="007D0393">
        <w:rPr>
          <w:rFonts w:ascii="Arial" w:hAnsi="Arial"/>
          <w:i/>
          <w:sz w:val="28"/>
          <w:szCs w:val="28"/>
          <w:lang w:val="en-AU"/>
        </w:rPr>
        <w:t>elating to a Uniform Law on the International Sale of Goods</w:t>
      </w:r>
      <w:r w:rsidR="001512DC">
        <w:rPr>
          <w:rFonts w:ascii="Arial" w:hAnsi="Arial"/>
          <w:sz w:val="28"/>
          <w:szCs w:val="28"/>
          <w:lang w:val="en-AU"/>
        </w:rPr>
        <w:t xml:space="preserve"> and a </w:t>
      </w:r>
      <w:r w:rsidR="001512DC" w:rsidRPr="007D0393">
        <w:rPr>
          <w:rFonts w:ascii="Arial" w:hAnsi="Arial"/>
          <w:i/>
          <w:sz w:val="28"/>
          <w:szCs w:val="28"/>
          <w:lang w:val="en-AU"/>
        </w:rPr>
        <w:t>Convention Relating to a Uniform Law on the Formation of Contracts for</w:t>
      </w:r>
      <w:r w:rsidR="001512DC">
        <w:rPr>
          <w:rFonts w:ascii="Arial" w:hAnsi="Arial"/>
          <w:sz w:val="28"/>
          <w:szCs w:val="28"/>
          <w:lang w:val="en-AU"/>
        </w:rPr>
        <w:t xml:space="preserve"> </w:t>
      </w:r>
      <w:r w:rsidR="001512DC" w:rsidRPr="007D0393">
        <w:rPr>
          <w:rFonts w:ascii="Arial" w:hAnsi="Arial"/>
          <w:i/>
          <w:sz w:val="28"/>
          <w:szCs w:val="28"/>
          <w:lang w:val="en-AU"/>
        </w:rPr>
        <w:t>the International Sale of Goods</w:t>
      </w:r>
      <w:r w:rsidR="001512DC">
        <w:rPr>
          <w:rFonts w:ascii="Arial" w:hAnsi="Arial"/>
          <w:sz w:val="28"/>
          <w:szCs w:val="28"/>
          <w:lang w:val="en-AU"/>
        </w:rPr>
        <w:t>. Those Conventions did not secure widespread acceptance.</w:t>
      </w:r>
    </w:p>
    <w:p w14:paraId="638EC74E" w14:textId="4F4D7DF1" w:rsidR="00BF0A9C" w:rsidRPr="004D2568" w:rsidRDefault="0071779A" w:rsidP="00C0583A">
      <w:pPr>
        <w:spacing w:after="240" w:line="360" w:lineRule="auto"/>
        <w:rPr>
          <w:rFonts w:ascii="Arial" w:hAnsi="Arial"/>
          <w:sz w:val="28"/>
          <w:szCs w:val="28"/>
          <w:lang w:val="en-AU"/>
        </w:rPr>
      </w:pPr>
      <w:r>
        <w:rPr>
          <w:rFonts w:ascii="Arial" w:hAnsi="Arial"/>
          <w:sz w:val="28"/>
          <w:szCs w:val="28"/>
          <w:lang w:val="en-AU"/>
        </w:rPr>
        <w:t>And so it was that t</w:t>
      </w:r>
      <w:r w:rsidR="00BF0A9C" w:rsidRPr="004D2568">
        <w:rPr>
          <w:rFonts w:ascii="Arial" w:hAnsi="Arial"/>
          <w:sz w:val="28"/>
          <w:szCs w:val="28"/>
          <w:lang w:val="en-AU"/>
        </w:rPr>
        <w:t xml:space="preserve">he United Nations created </w:t>
      </w:r>
      <w:r w:rsidR="000455F9">
        <w:rPr>
          <w:rFonts w:ascii="Arial" w:hAnsi="Arial"/>
          <w:sz w:val="28"/>
          <w:szCs w:val="28"/>
          <w:lang w:val="en-AU"/>
        </w:rPr>
        <w:t>its</w:t>
      </w:r>
      <w:r w:rsidR="00BF0A9C" w:rsidRPr="004D2568">
        <w:rPr>
          <w:rFonts w:ascii="Arial" w:hAnsi="Arial"/>
          <w:sz w:val="28"/>
          <w:szCs w:val="28"/>
          <w:lang w:val="en-AU"/>
        </w:rPr>
        <w:t xml:space="preserve"> Commission on International Trade Law (UNCITRAL) in 1966 to promote “the progressive harmonisation and unification of the law of international trade”.</w:t>
      </w:r>
    </w:p>
    <w:p w14:paraId="157D4183" w14:textId="6AE565B5" w:rsidR="00BF0A9C" w:rsidRPr="004D2568" w:rsidRDefault="004D2568" w:rsidP="00C0583A">
      <w:pPr>
        <w:spacing w:after="240" w:line="360" w:lineRule="auto"/>
        <w:rPr>
          <w:rFonts w:ascii="Arial" w:hAnsi="Arial"/>
          <w:i/>
          <w:sz w:val="28"/>
          <w:szCs w:val="28"/>
          <w:lang w:val="en-AU"/>
        </w:rPr>
      </w:pPr>
      <w:r w:rsidRPr="004D2568">
        <w:rPr>
          <w:rFonts w:ascii="Arial" w:hAnsi="Arial"/>
          <w:sz w:val="28"/>
          <w:szCs w:val="28"/>
          <w:lang w:val="en-AU"/>
        </w:rPr>
        <w:t>Initially</w:t>
      </w:r>
      <w:r w:rsidR="00BF0A9C" w:rsidRPr="004D2568">
        <w:rPr>
          <w:rFonts w:ascii="Arial" w:hAnsi="Arial"/>
          <w:sz w:val="28"/>
          <w:szCs w:val="28"/>
          <w:lang w:val="en-AU"/>
        </w:rPr>
        <w:t>, UNCITRAL worked on revising the two Hague convention</w:t>
      </w:r>
      <w:r w:rsidR="005362A1">
        <w:rPr>
          <w:rFonts w:ascii="Arial" w:hAnsi="Arial"/>
          <w:sz w:val="28"/>
          <w:szCs w:val="28"/>
          <w:lang w:val="en-AU"/>
        </w:rPr>
        <w:t>s</w:t>
      </w:r>
      <w:r w:rsidR="0001300F">
        <w:rPr>
          <w:rFonts w:ascii="Arial" w:hAnsi="Arial"/>
          <w:sz w:val="28"/>
          <w:szCs w:val="28"/>
          <w:lang w:val="en-AU"/>
        </w:rPr>
        <w:t>,</w:t>
      </w:r>
      <w:r w:rsidR="00BF0A9C" w:rsidRPr="004D2568">
        <w:rPr>
          <w:rFonts w:ascii="Arial" w:hAnsi="Arial"/>
          <w:sz w:val="28"/>
          <w:szCs w:val="28"/>
          <w:lang w:val="en-AU"/>
        </w:rPr>
        <w:t xml:space="preserve"> but in 1978, in the light of comments received from United Nations members and international organisations, UNCITRAL adopted a </w:t>
      </w:r>
      <w:r w:rsidR="00BF0A9C" w:rsidRPr="004D2568">
        <w:rPr>
          <w:rFonts w:ascii="Arial" w:hAnsi="Arial"/>
          <w:i/>
          <w:sz w:val="28"/>
          <w:szCs w:val="28"/>
          <w:lang w:val="en-AU"/>
        </w:rPr>
        <w:t xml:space="preserve">Draft Convention </w:t>
      </w:r>
      <w:r w:rsidRPr="004D2568">
        <w:rPr>
          <w:rFonts w:ascii="Arial" w:hAnsi="Arial"/>
          <w:i/>
          <w:sz w:val="28"/>
          <w:szCs w:val="28"/>
          <w:lang w:val="en-AU"/>
        </w:rPr>
        <w:t xml:space="preserve">on </w:t>
      </w:r>
      <w:r w:rsidR="00BF0A9C" w:rsidRPr="004D2568">
        <w:rPr>
          <w:rFonts w:ascii="Arial" w:hAnsi="Arial"/>
          <w:i/>
          <w:sz w:val="28"/>
          <w:szCs w:val="28"/>
          <w:lang w:val="en-AU"/>
        </w:rPr>
        <w:t>Contracts for the International Sale of Goods.</w:t>
      </w:r>
    </w:p>
    <w:p w14:paraId="756A011A" w14:textId="7D7BC4D0" w:rsidR="00BF0A9C" w:rsidRPr="004D2568" w:rsidRDefault="00BF0A9C" w:rsidP="00C0583A">
      <w:pPr>
        <w:spacing w:after="240" w:line="360" w:lineRule="auto"/>
        <w:rPr>
          <w:rFonts w:ascii="Arial" w:hAnsi="Arial"/>
          <w:sz w:val="28"/>
          <w:szCs w:val="28"/>
          <w:lang w:val="en-AU"/>
        </w:rPr>
      </w:pPr>
      <w:r w:rsidRPr="004D2568">
        <w:rPr>
          <w:rFonts w:ascii="Arial" w:hAnsi="Arial"/>
          <w:sz w:val="28"/>
          <w:szCs w:val="28"/>
          <w:lang w:val="en-AU"/>
        </w:rPr>
        <w:t>The UN convened a conference in Vienna in March 1980 to consider adoption of a treaty founded on th</w:t>
      </w:r>
      <w:r w:rsidR="005362A1">
        <w:rPr>
          <w:rFonts w:ascii="Arial" w:hAnsi="Arial"/>
          <w:sz w:val="28"/>
          <w:szCs w:val="28"/>
          <w:lang w:val="en-AU"/>
        </w:rPr>
        <w:t>is</w:t>
      </w:r>
      <w:r w:rsidRPr="004D2568">
        <w:rPr>
          <w:rFonts w:ascii="Arial" w:hAnsi="Arial"/>
          <w:sz w:val="28"/>
          <w:szCs w:val="28"/>
          <w:lang w:val="en-AU"/>
        </w:rPr>
        <w:t xml:space="preserve"> </w:t>
      </w:r>
      <w:r w:rsidR="005362A1">
        <w:rPr>
          <w:rFonts w:ascii="Arial" w:hAnsi="Arial"/>
          <w:sz w:val="28"/>
          <w:szCs w:val="28"/>
          <w:lang w:val="en-AU"/>
        </w:rPr>
        <w:t>D</w:t>
      </w:r>
      <w:r w:rsidRPr="004D2568">
        <w:rPr>
          <w:rFonts w:ascii="Arial" w:hAnsi="Arial"/>
          <w:sz w:val="28"/>
          <w:szCs w:val="28"/>
          <w:lang w:val="en-AU"/>
        </w:rPr>
        <w:t>raft. On 11 April 1980, the 62 countries participating in the conference unanimously adopted the Draft with very few amendments.</w:t>
      </w:r>
    </w:p>
    <w:p w14:paraId="484CB724" w14:textId="103A6DB4" w:rsidR="00BF0A9C" w:rsidRPr="004D2568" w:rsidRDefault="00BF0A9C" w:rsidP="00C0583A">
      <w:pPr>
        <w:spacing w:after="240" w:line="360" w:lineRule="auto"/>
        <w:rPr>
          <w:rFonts w:ascii="Arial" w:hAnsi="Arial"/>
          <w:sz w:val="28"/>
          <w:szCs w:val="28"/>
          <w:lang w:val="en-AU"/>
        </w:rPr>
      </w:pPr>
      <w:r w:rsidRPr="004D2568">
        <w:rPr>
          <w:rFonts w:ascii="Arial" w:hAnsi="Arial"/>
          <w:sz w:val="28"/>
          <w:szCs w:val="28"/>
          <w:lang w:val="en-AU"/>
        </w:rPr>
        <w:t xml:space="preserve">The </w:t>
      </w:r>
      <w:r w:rsidR="0040036D">
        <w:rPr>
          <w:rFonts w:ascii="Arial" w:hAnsi="Arial"/>
          <w:sz w:val="28"/>
          <w:szCs w:val="28"/>
          <w:lang w:val="en-AU"/>
        </w:rPr>
        <w:t>C</w:t>
      </w:r>
      <w:r w:rsidRPr="004D2568">
        <w:rPr>
          <w:rFonts w:ascii="Arial" w:hAnsi="Arial"/>
          <w:sz w:val="28"/>
          <w:szCs w:val="28"/>
          <w:lang w:val="en-AU"/>
        </w:rPr>
        <w:t xml:space="preserve">onvention </w:t>
      </w:r>
      <w:r w:rsidR="0071779A">
        <w:rPr>
          <w:rFonts w:ascii="Arial" w:hAnsi="Arial"/>
          <w:sz w:val="28"/>
          <w:szCs w:val="28"/>
          <w:lang w:val="en-AU"/>
        </w:rPr>
        <w:t>entered</w:t>
      </w:r>
      <w:r w:rsidRPr="004D2568">
        <w:rPr>
          <w:rFonts w:ascii="Arial" w:hAnsi="Arial"/>
          <w:sz w:val="28"/>
          <w:szCs w:val="28"/>
          <w:lang w:val="en-AU"/>
        </w:rPr>
        <w:t xml:space="preserve"> into force on 1 January 1988. </w:t>
      </w:r>
    </w:p>
    <w:p w14:paraId="21081B42" w14:textId="2C8F5BE6" w:rsidR="00BF0A9C" w:rsidRPr="004D2568" w:rsidRDefault="00BF0A9C" w:rsidP="00C0583A">
      <w:pPr>
        <w:spacing w:after="240" w:line="360" w:lineRule="auto"/>
        <w:rPr>
          <w:rFonts w:ascii="Arial" w:hAnsi="Arial"/>
          <w:sz w:val="28"/>
          <w:szCs w:val="28"/>
          <w:lang w:val="en-AU"/>
        </w:rPr>
      </w:pPr>
      <w:r w:rsidRPr="004D2568">
        <w:rPr>
          <w:rFonts w:ascii="Arial" w:hAnsi="Arial"/>
          <w:b/>
          <w:sz w:val="28"/>
          <w:szCs w:val="28"/>
          <w:lang w:val="en-AU"/>
        </w:rPr>
        <w:t>Jumping forward</w:t>
      </w:r>
    </w:p>
    <w:p w14:paraId="3EAE5E03" w14:textId="12C5414D" w:rsidR="00224473" w:rsidRDefault="005362A1" w:rsidP="00C0583A">
      <w:pPr>
        <w:spacing w:after="240" w:line="360" w:lineRule="auto"/>
        <w:rPr>
          <w:rFonts w:ascii="Arial" w:hAnsi="Arial"/>
          <w:sz w:val="28"/>
          <w:szCs w:val="28"/>
          <w:lang w:val="en-AU"/>
        </w:rPr>
      </w:pPr>
      <w:r>
        <w:rPr>
          <w:rFonts w:ascii="Arial" w:hAnsi="Arial"/>
          <w:sz w:val="28"/>
          <w:szCs w:val="28"/>
          <w:lang w:val="en-AU"/>
        </w:rPr>
        <w:t>As of 25 September 2020, 94 States</w:t>
      </w:r>
      <w:r w:rsidR="000455F9">
        <w:rPr>
          <w:rFonts w:ascii="Arial" w:hAnsi="Arial"/>
          <w:sz w:val="28"/>
          <w:szCs w:val="28"/>
          <w:lang w:val="en-AU"/>
        </w:rPr>
        <w:t xml:space="preserve"> </w:t>
      </w:r>
      <w:r>
        <w:rPr>
          <w:rFonts w:ascii="Arial" w:hAnsi="Arial"/>
          <w:sz w:val="28"/>
          <w:szCs w:val="28"/>
          <w:lang w:val="en-AU"/>
        </w:rPr>
        <w:t>had</w:t>
      </w:r>
      <w:r w:rsidR="00BF0A9C" w:rsidRPr="004D2568">
        <w:rPr>
          <w:rFonts w:ascii="Arial" w:hAnsi="Arial"/>
          <w:sz w:val="28"/>
          <w:szCs w:val="28"/>
          <w:lang w:val="en-AU"/>
        </w:rPr>
        <w:t xml:space="preserve"> ratified</w:t>
      </w:r>
      <w:r>
        <w:rPr>
          <w:rFonts w:ascii="Arial" w:hAnsi="Arial"/>
          <w:sz w:val="28"/>
          <w:szCs w:val="28"/>
          <w:lang w:val="en-AU"/>
        </w:rPr>
        <w:t xml:space="preserve">, acceded to, accepted or succeeded to, </w:t>
      </w:r>
      <w:r w:rsidR="00BF0A9C" w:rsidRPr="004D2568">
        <w:rPr>
          <w:rFonts w:ascii="Arial" w:hAnsi="Arial"/>
          <w:sz w:val="28"/>
          <w:szCs w:val="28"/>
          <w:lang w:val="en-AU"/>
        </w:rPr>
        <w:t xml:space="preserve">the CISG. They include Australia and our major trading partners, including the People’s Republic of China, the USA, Japan, </w:t>
      </w:r>
      <w:r w:rsidR="00BF0A9C" w:rsidRPr="004D2568">
        <w:rPr>
          <w:rFonts w:ascii="Arial" w:hAnsi="Arial"/>
          <w:sz w:val="28"/>
          <w:szCs w:val="28"/>
          <w:lang w:val="en-AU"/>
        </w:rPr>
        <w:lastRenderedPageBreak/>
        <w:t>France, Germany, Canada, The Netherlands, Belgium, Spain and Italy. A notable exception is the United Kingdom.</w:t>
      </w:r>
      <w:r w:rsidR="00BD782E" w:rsidRPr="004D2568">
        <w:rPr>
          <w:rFonts w:ascii="Arial" w:hAnsi="Arial"/>
          <w:sz w:val="28"/>
          <w:szCs w:val="28"/>
          <w:lang w:val="en-AU"/>
        </w:rPr>
        <w:t xml:space="preserve"> </w:t>
      </w:r>
      <w:r>
        <w:rPr>
          <w:rFonts w:ascii="Arial" w:hAnsi="Arial"/>
          <w:sz w:val="28"/>
          <w:szCs w:val="28"/>
          <w:lang w:val="en-AU"/>
        </w:rPr>
        <w:t xml:space="preserve">Other exceptions are India, South Africa and Nigeria. </w:t>
      </w:r>
      <w:r w:rsidR="00BD782E" w:rsidRPr="004D2568">
        <w:rPr>
          <w:rFonts w:ascii="Arial" w:hAnsi="Arial"/>
          <w:sz w:val="28"/>
          <w:szCs w:val="28"/>
          <w:lang w:val="en-AU"/>
        </w:rPr>
        <w:t>At one stage it was said that the United Kingdom intended to ratify once parliamentary time permitted, but it seems clear that there is entrenched opposition</w:t>
      </w:r>
      <w:r w:rsidR="000455F9">
        <w:rPr>
          <w:rFonts w:ascii="Arial" w:hAnsi="Arial"/>
          <w:sz w:val="28"/>
          <w:szCs w:val="28"/>
          <w:lang w:val="en-AU"/>
        </w:rPr>
        <w:t xml:space="preserve"> </w:t>
      </w:r>
      <w:r w:rsidR="00BD782E" w:rsidRPr="004D2568">
        <w:rPr>
          <w:rFonts w:ascii="Arial" w:hAnsi="Arial"/>
          <w:sz w:val="28"/>
          <w:szCs w:val="28"/>
          <w:lang w:val="en-AU"/>
        </w:rPr>
        <w:t>to ratification</w:t>
      </w:r>
      <w:r w:rsidR="0071779A">
        <w:rPr>
          <w:rFonts w:ascii="Arial" w:hAnsi="Arial"/>
          <w:sz w:val="28"/>
          <w:szCs w:val="28"/>
          <w:lang w:val="en-AU"/>
        </w:rPr>
        <w:t xml:space="preserve"> there.</w:t>
      </w:r>
    </w:p>
    <w:p w14:paraId="5347388F" w14:textId="3466EA09" w:rsidR="00BD782E" w:rsidRPr="004D2568" w:rsidRDefault="00224473" w:rsidP="00C0583A">
      <w:pPr>
        <w:spacing w:after="240" w:line="360" w:lineRule="auto"/>
        <w:rPr>
          <w:rFonts w:ascii="Arial" w:hAnsi="Arial"/>
          <w:sz w:val="28"/>
          <w:szCs w:val="28"/>
          <w:lang w:val="en-AU"/>
        </w:rPr>
      </w:pPr>
      <w:r>
        <w:rPr>
          <w:rFonts w:ascii="Arial" w:hAnsi="Arial"/>
          <w:sz w:val="28"/>
          <w:szCs w:val="28"/>
          <w:lang w:val="en-AU"/>
        </w:rPr>
        <w:t xml:space="preserve">Australia ratified </w:t>
      </w:r>
      <w:r w:rsidR="0040036D">
        <w:rPr>
          <w:rFonts w:ascii="Arial" w:hAnsi="Arial"/>
          <w:sz w:val="28"/>
          <w:szCs w:val="28"/>
          <w:lang w:val="en-AU"/>
        </w:rPr>
        <w:t xml:space="preserve">the Convention </w:t>
      </w:r>
      <w:r>
        <w:rPr>
          <w:rFonts w:ascii="Arial" w:hAnsi="Arial"/>
          <w:sz w:val="28"/>
          <w:szCs w:val="28"/>
          <w:lang w:val="en-AU"/>
        </w:rPr>
        <w:t xml:space="preserve">on 17 March 1988 and </w:t>
      </w:r>
      <w:r w:rsidR="0040036D">
        <w:rPr>
          <w:rFonts w:ascii="Arial" w:hAnsi="Arial"/>
          <w:sz w:val="28"/>
          <w:szCs w:val="28"/>
          <w:lang w:val="en-AU"/>
        </w:rPr>
        <w:t>it</w:t>
      </w:r>
      <w:r>
        <w:rPr>
          <w:rFonts w:ascii="Arial" w:hAnsi="Arial"/>
          <w:sz w:val="28"/>
          <w:szCs w:val="28"/>
          <w:lang w:val="en-AU"/>
        </w:rPr>
        <w:t xml:space="preserve"> came into force here on 1 April 1989.</w:t>
      </w:r>
    </w:p>
    <w:p w14:paraId="3E0C9132" w14:textId="6B2D248C" w:rsidR="00224473" w:rsidRDefault="00BD782E" w:rsidP="00C0583A">
      <w:pPr>
        <w:spacing w:after="240" w:line="360" w:lineRule="auto"/>
        <w:rPr>
          <w:rFonts w:ascii="Arial" w:hAnsi="Arial"/>
          <w:sz w:val="28"/>
          <w:szCs w:val="28"/>
          <w:lang w:val="en-AU"/>
        </w:rPr>
      </w:pPr>
      <w:r w:rsidRPr="004D2568">
        <w:rPr>
          <w:rFonts w:ascii="Arial" w:hAnsi="Arial"/>
          <w:sz w:val="28"/>
          <w:szCs w:val="28"/>
          <w:lang w:val="en-AU"/>
        </w:rPr>
        <w:t xml:space="preserve">In Australia the CISG is adopted by a </w:t>
      </w:r>
      <w:r w:rsidRPr="004D2568">
        <w:rPr>
          <w:rFonts w:ascii="Arial" w:hAnsi="Arial"/>
          <w:i/>
          <w:sz w:val="28"/>
          <w:szCs w:val="28"/>
          <w:lang w:val="en-AU"/>
        </w:rPr>
        <w:t xml:space="preserve">Sale of Goods (Vienna Convention) Act </w:t>
      </w:r>
      <w:r w:rsidRPr="004D2568">
        <w:rPr>
          <w:rFonts w:ascii="Arial" w:hAnsi="Arial"/>
          <w:sz w:val="28"/>
          <w:szCs w:val="28"/>
          <w:lang w:val="en-AU"/>
        </w:rPr>
        <w:t xml:space="preserve">of 1986 or 1987 of every </w:t>
      </w:r>
      <w:r w:rsidR="00224473">
        <w:rPr>
          <w:rFonts w:ascii="Arial" w:hAnsi="Arial"/>
          <w:sz w:val="28"/>
          <w:szCs w:val="28"/>
          <w:lang w:val="en-AU"/>
        </w:rPr>
        <w:t>S</w:t>
      </w:r>
      <w:r w:rsidRPr="004D2568">
        <w:rPr>
          <w:rFonts w:ascii="Arial" w:hAnsi="Arial"/>
          <w:sz w:val="28"/>
          <w:szCs w:val="28"/>
          <w:lang w:val="en-AU"/>
        </w:rPr>
        <w:t xml:space="preserve">tate and </w:t>
      </w:r>
      <w:r w:rsidR="00224473">
        <w:rPr>
          <w:rFonts w:ascii="Arial" w:hAnsi="Arial"/>
          <w:sz w:val="28"/>
          <w:szCs w:val="28"/>
          <w:lang w:val="en-AU"/>
        </w:rPr>
        <w:t>T</w:t>
      </w:r>
      <w:r w:rsidRPr="004D2568">
        <w:rPr>
          <w:rFonts w:ascii="Arial" w:hAnsi="Arial"/>
          <w:sz w:val="28"/>
          <w:szCs w:val="28"/>
          <w:lang w:val="en-AU"/>
        </w:rPr>
        <w:t xml:space="preserve">erritory. </w:t>
      </w:r>
    </w:p>
    <w:p w14:paraId="7D3322DD" w14:textId="3DE0016D" w:rsidR="0040036D" w:rsidRDefault="00224473" w:rsidP="00C0583A">
      <w:pPr>
        <w:spacing w:after="240" w:line="360" w:lineRule="auto"/>
        <w:rPr>
          <w:rFonts w:ascii="Arial" w:hAnsi="Arial"/>
          <w:sz w:val="28"/>
          <w:szCs w:val="28"/>
          <w:lang w:val="en-AU"/>
        </w:rPr>
      </w:pPr>
      <w:r>
        <w:rPr>
          <w:rFonts w:ascii="Arial" w:hAnsi="Arial"/>
          <w:sz w:val="28"/>
          <w:szCs w:val="28"/>
          <w:lang w:val="en-AU"/>
        </w:rPr>
        <w:t>Sections 5 and 6 of th</w:t>
      </w:r>
      <w:r w:rsidR="000455F9">
        <w:rPr>
          <w:rFonts w:ascii="Arial" w:hAnsi="Arial"/>
          <w:sz w:val="28"/>
          <w:szCs w:val="28"/>
          <w:lang w:val="en-AU"/>
        </w:rPr>
        <w:t>ose Acts</w:t>
      </w:r>
      <w:r>
        <w:rPr>
          <w:rFonts w:ascii="Arial" w:hAnsi="Arial"/>
          <w:sz w:val="28"/>
          <w:szCs w:val="28"/>
          <w:lang w:val="en-AU"/>
        </w:rPr>
        <w:t xml:space="preserve"> provide that the Convention’s provisions have the force of law in the particular State or Territory and prevail over any other law in force there to the extent of any inconsistency.</w:t>
      </w:r>
    </w:p>
    <w:p w14:paraId="2B068D62" w14:textId="55A38218" w:rsidR="000455F9" w:rsidRDefault="0040036D" w:rsidP="00C0583A">
      <w:pPr>
        <w:spacing w:after="240" w:line="360" w:lineRule="auto"/>
        <w:rPr>
          <w:rFonts w:ascii="Arial" w:hAnsi="Arial"/>
          <w:sz w:val="28"/>
          <w:szCs w:val="28"/>
          <w:lang w:val="en-AU"/>
        </w:rPr>
      </w:pPr>
      <w:r w:rsidRPr="004D2568">
        <w:rPr>
          <w:rFonts w:ascii="Arial" w:hAnsi="Arial"/>
          <w:sz w:val="28"/>
          <w:szCs w:val="28"/>
          <w:lang w:val="en-AU"/>
        </w:rPr>
        <w:t xml:space="preserve">Section 68 of the </w:t>
      </w:r>
      <w:r w:rsidRPr="004D2568">
        <w:rPr>
          <w:rFonts w:ascii="Arial" w:hAnsi="Arial"/>
          <w:i/>
          <w:sz w:val="28"/>
          <w:szCs w:val="28"/>
          <w:lang w:val="en-AU"/>
        </w:rPr>
        <w:t>Australian Consumer Law</w:t>
      </w:r>
      <w:r>
        <w:rPr>
          <w:rFonts w:ascii="Arial" w:hAnsi="Arial"/>
          <w:sz w:val="28"/>
          <w:szCs w:val="28"/>
          <w:lang w:val="en-AU"/>
        </w:rPr>
        <w:t xml:space="preserve">, the successor to s 66A of the </w:t>
      </w:r>
      <w:r w:rsidRPr="00586A42">
        <w:rPr>
          <w:rFonts w:ascii="Arial" w:hAnsi="Arial"/>
          <w:i/>
          <w:sz w:val="28"/>
          <w:szCs w:val="28"/>
          <w:lang w:val="en-AU"/>
        </w:rPr>
        <w:t>Trade Practices Act</w:t>
      </w:r>
      <w:r>
        <w:rPr>
          <w:rFonts w:ascii="Arial" w:hAnsi="Arial"/>
          <w:sz w:val="28"/>
          <w:szCs w:val="28"/>
          <w:lang w:val="en-AU"/>
        </w:rPr>
        <w:t xml:space="preserve"> </w:t>
      </w:r>
      <w:r w:rsidRPr="00586A42">
        <w:rPr>
          <w:rFonts w:ascii="Arial" w:hAnsi="Arial"/>
          <w:i/>
          <w:sz w:val="28"/>
          <w:szCs w:val="28"/>
          <w:lang w:val="en-AU"/>
        </w:rPr>
        <w:t>1974</w:t>
      </w:r>
      <w:r>
        <w:rPr>
          <w:rFonts w:ascii="Arial" w:hAnsi="Arial"/>
          <w:sz w:val="28"/>
          <w:szCs w:val="28"/>
          <w:lang w:val="en-AU"/>
        </w:rPr>
        <w:t>,</w:t>
      </w:r>
      <w:r w:rsidRPr="004D2568">
        <w:rPr>
          <w:rFonts w:ascii="Arial" w:hAnsi="Arial"/>
          <w:sz w:val="28"/>
          <w:szCs w:val="28"/>
          <w:lang w:val="en-AU"/>
        </w:rPr>
        <w:t xml:space="preserve"> provides that the </w:t>
      </w:r>
      <w:r w:rsidR="000455F9">
        <w:rPr>
          <w:rFonts w:ascii="Arial" w:hAnsi="Arial"/>
          <w:sz w:val="28"/>
          <w:szCs w:val="28"/>
          <w:lang w:val="en-AU"/>
        </w:rPr>
        <w:t xml:space="preserve">Convention’s </w:t>
      </w:r>
      <w:r w:rsidRPr="004D2568">
        <w:rPr>
          <w:rFonts w:ascii="Arial" w:hAnsi="Arial"/>
          <w:sz w:val="28"/>
          <w:szCs w:val="28"/>
          <w:lang w:val="en-AU"/>
        </w:rPr>
        <w:t>provisions  prevail over Div 1 (“Consumer Guarantees”) of Part 3-2 of the ACL to the extent of any inconsistency.</w:t>
      </w:r>
    </w:p>
    <w:p w14:paraId="557AF446" w14:textId="7CC2C834" w:rsidR="00281302" w:rsidRPr="004D2568" w:rsidRDefault="000455F9" w:rsidP="00C0583A">
      <w:pPr>
        <w:spacing w:after="240" w:line="360" w:lineRule="auto"/>
        <w:rPr>
          <w:rFonts w:ascii="Arial" w:hAnsi="Arial"/>
          <w:sz w:val="28"/>
          <w:szCs w:val="28"/>
          <w:lang w:val="en-AU"/>
        </w:rPr>
      </w:pPr>
      <w:r>
        <w:rPr>
          <w:rFonts w:ascii="Arial" w:hAnsi="Arial"/>
          <w:sz w:val="28"/>
          <w:szCs w:val="28"/>
          <w:lang w:val="en-AU"/>
        </w:rPr>
        <w:t xml:space="preserve">The provisions mentioned make the CISG part of the municipal law of Australia, not foreign law, and therefore </w:t>
      </w:r>
      <w:r w:rsidR="0001300F">
        <w:rPr>
          <w:rFonts w:ascii="Arial" w:hAnsi="Arial"/>
          <w:sz w:val="28"/>
          <w:szCs w:val="28"/>
          <w:lang w:val="en-AU"/>
        </w:rPr>
        <w:t xml:space="preserve">the CISG is </w:t>
      </w:r>
      <w:r>
        <w:rPr>
          <w:rFonts w:ascii="Arial" w:hAnsi="Arial"/>
          <w:sz w:val="28"/>
          <w:szCs w:val="28"/>
          <w:lang w:val="en-AU"/>
        </w:rPr>
        <w:t xml:space="preserve">not a matter of fact on which expert evidence can be received: </w:t>
      </w:r>
      <w:r w:rsidRPr="00182910">
        <w:rPr>
          <w:rFonts w:ascii="Arial" w:hAnsi="Arial"/>
          <w:i/>
          <w:sz w:val="28"/>
          <w:szCs w:val="28"/>
          <w:lang w:val="en-AU"/>
        </w:rPr>
        <w:t>Roder –v- Rosedown Park Pty Ltd</w:t>
      </w:r>
      <w:r>
        <w:rPr>
          <w:rFonts w:ascii="Arial" w:hAnsi="Arial"/>
          <w:sz w:val="28"/>
          <w:szCs w:val="28"/>
          <w:lang w:val="en-AU"/>
        </w:rPr>
        <w:t xml:space="preserve"> (1995) 17 ACSR 153.</w:t>
      </w:r>
    </w:p>
    <w:p w14:paraId="35EB55E9" w14:textId="57876BE6" w:rsidR="003016AB" w:rsidRPr="00C0583A" w:rsidRDefault="003C596A" w:rsidP="00C0583A">
      <w:pPr>
        <w:tabs>
          <w:tab w:val="left" w:pos="3408"/>
        </w:tabs>
        <w:spacing w:after="240" w:line="360" w:lineRule="auto"/>
        <w:rPr>
          <w:rFonts w:ascii="Arial" w:hAnsi="Arial"/>
          <w:b/>
          <w:sz w:val="28"/>
          <w:szCs w:val="28"/>
          <w:lang w:val="en-AU"/>
        </w:rPr>
      </w:pPr>
      <w:r w:rsidRPr="004D2568">
        <w:rPr>
          <w:rFonts w:ascii="Arial" w:hAnsi="Arial"/>
          <w:b/>
          <w:sz w:val="28"/>
          <w:szCs w:val="28"/>
          <w:lang w:val="en-AU"/>
        </w:rPr>
        <w:t>Some features of the CISG</w:t>
      </w:r>
    </w:p>
    <w:p w14:paraId="6CAC5B1A" w14:textId="01433DE3" w:rsidR="003C596A" w:rsidRPr="004D2568" w:rsidRDefault="003C596A" w:rsidP="00C0583A">
      <w:pPr>
        <w:spacing w:after="240" w:line="360" w:lineRule="auto"/>
        <w:rPr>
          <w:rFonts w:ascii="Arial" w:hAnsi="Arial"/>
          <w:sz w:val="28"/>
          <w:szCs w:val="28"/>
          <w:lang w:val="en-AU"/>
        </w:rPr>
      </w:pPr>
      <w:r w:rsidRPr="004D2568">
        <w:rPr>
          <w:rFonts w:ascii="Arial" w:hAnsi="Arial"/>
          <w:sz w:val="28"/>
          <w:szCs w:val="28"/>
          <w:lang w:val="en-AU"/>
        </w:rPr>
        <w:t xml:space="preserve">I will mention the Convention’s sphere of application and then </w:t>
      </w:r>
      <w:r w:rsidR="0001300F">
        <w:rPr>
          <w:rFonts w:ascii="Arial" w:hAnsi="Arial"/>
          <w:sz w:val="28"/>
          <w:szCs w:val="28"/>
          <w:lang w:val="en-AU"/>
        </w:rPr>
        <w:t>refer to three</w:t>
      </w:r>
      <w:r w:rsidRPr="004D2568">
        <w:rPr>
          <w:rFonts w:ascii="Arial" w:hAnsi="Arial"/>
          <w:sz w:val="28"/>
          <w:szCs w:val="28"/>
          <w:lang w:val="en-AU"/>
        </w:rPr>
        <w:t xml:space="preserve"> specific provisions </w:t>
      </w:r>
      <w:r w:rsidR="00224473">
        <w:rPr>
          <w:rFonts w:ascii="Arial" w:hAnsi="Arial"/>
          <w:sz w:val="28"/>
          <w:szCs w:val="28"/>
          <w:lang w:val="en-AU"/>
        </w:rPr>
        <w:t xml:space="preserve">that have generated </w:t>
      </w:r>
      <w:r w:rsidR="0001300F">
        <w:rPr>
          <w:rFonts w:ascii="Arial" w:hAnsi="Arial"/>
          <w:sz w:val="28"/>
          <w:szCs w:val="28"/>
          <w:lang w:val="en-AU"/>
        </w:rPr>
        <w:t xml:space="preserve">some </w:t>
      </w:r>
      <w:r w:rsidR="00224473">
        <w:rPr>
          <w:rFonts w:ascii="Arial" w:hAnsi="Arial"/>
          <w:sz w:val="28"/>
          <w:szCs w:val="28"/>
          <w:lang w:val="en-AU"/>
        </w:rPr>
        <w:t>commentary</w:t>
      </w:r>
      <w:r w:rsidR="0001300F">
        <w:rPr>
          <w:rFonts w:ascii="Arial" w:hAnsi="Arial"/>
          <w:sz w:val="28"/>
          <w:szCs w:val="28"/>
          <w:lang w:val="en-AU"/>
        </w:rPr>
        <w:t>.</w:t>
      </w:r>
    </w:p>
    <w:p w14:paraId="2B2FEE5B" w14:textId="667C50D8" w:rsidR="003C596A" w:rsidRPr="004D2568" w:rsidRDefault="0001300F" w:rsidP="00C0583A">
      <w:pPr>
        <w:spacing w:after="240" w:line="360" w:lineRule="auto"/>
        <w:rPr>
          <w:rFonts w:ascii="Arial" w:hAnsi="Arial"/>
          <w:sz w:val="28"/>
          <w:szCs w:val="28"/>
          <w:lang w:val="en-AU"/>
        </w:rPr>
      </w:pPr>
      <w:r>
        <w:rPr>
          <w:rFonts w:ascii="Arial" w:hAnsi="Arial"/>
          <w:sz w:val="28"/>
          <w:szCs w:val="28"/>
          <w:lang w:val="en-AU"/>
        </w:rPr>
        <w:t xml:space="preserve">As to the sphere of operation, </w:t>
      </w:r>
      <w:r w:rsidR="003C596A" w:rsidRPr="004D2568">
        <w:rPr>
          <w:rFonts w:ascii="Arial" w:hAnsi="Arial"/>
          <w:sz w:val="28"/>
          <w:szCs w:val="28"/>
          <w:lang w:val="en-AU"/>
        </w:rPr>
        <w:t xml:space="preserve">Art 1 of the CISG states that </w:t>
      </w:r>
      <w:r w:rsidR="0040036D">
        <w:rPr>
          <w:rFonts w:ascii="Arial" w:hAnsi="Arial"/>
          <w:sz w:val="28"/>
          <w:szCs w:val="28"/>
          <w:lang w:val="en-AU"/>
        </w:rPr>
        <w:t>it</w:t>
      </w:r>
      <w:r w:rsidR="003C596A" w:rsidRPr="004D2568">
        <w:rPr>
          <w:rFonts w:ascii="Arial" w:hAnsi="Arial"/>
          <w:sz w:val="28"/>
          <w:szCs w:val="28"/>
          <w:lang w:val="en-AU"/>
        </w:rPr>
        <w:t xml:space="preserve"> applies to contracts of sale of goods between parties whose places of business are in different States:</w:t>
      </w:r>
    </w:p>
    <w:p w14:paraId="221E0277" w14:textId="1BC7933D" w:rsidR="003C596A" w:rsidRDefault="00C0583A" w:rsidP="00C0583A">
      <w:pPr>
        <w:pStyle w:val="ListParagraph"/>
        <w:numPr>
          <w:ilvl w:val="0"/>
          <w:numId w:val="25"/>
        </w:numPr>
        <w:spacing w:after="120" w:line="360" w:lineRule="auto"/>
        <w:rPr>
          <w:rFonts w:ascii="Arial" w:hAnsi="Arial"/>
          <w:sz w:val="28"/>
          <w:szCs w:val="28"/>
          <w:lang w:val="en-AU"/>
        </w:rPr>
      </w:pPr>
      <w:r>
        <w:rPr>
          <w:rFonts w:ascii="Arial" w:hAnsi="Arial"/>
          <w:sz w:val="28"/>
          <w:szCs w:val="28"/>
          <w:lang w:val="en-AU"/>
        </w:rPr>
        <w:lastRenderedPageBreak/>
        <w:t xml:space="preserve"> </w:t>
      </w:r>
      <w:r>
        <w:rPr>
          <w:rFonts w:ascii="Arial" w:hAnsi="Arial"/>
          <w:sz w:val="28"/>
          <w:szCs w:val="28"/>
          <w:lang w:val="en-AU"/>
        </w:rPr>
        <w:tab/>
      </w:r>
      <w:r w:rsidR="003C596A" w:rsidRPr="004D2568">
        <w:rPr>
          <w:rFonts w:ascii="Arial" w:hAnsi="Arial"/>
          <w:sz w:val="28"/>
          <w:szCs w:val="28"/>
          <w:lang w:val="en-AU"/>
        </w:rPr>
        <w:t>when the States are Contracting States; or</w:t>
      </w:r>
    </w:p>
    <w:p w14:paraId="740C3E6D" w14:textId="73B1E964" w:rsidR="003C596A" w:rsidRPr="00C0583A" w:rsidRDefault="003C596A" w:rsidP="00C0583A">
      <w:pPr>
        <w:pStyle w:val="ListParagraph"/>
        <w:numPr>
          <w:ilvl w:val="0"/>
          <w:numId w:val="25"/>
        </w:numPr>
        <w:spacing w:after="240" w:line="360" w:lineRule="auto"/>
        <w:ind w:left="1560" w:hanging="851"/>
        <w:rPr>
          <w:rFonts w:ascii="Arial" w:hAnsi="Arial"/>
          <w:sz w:val="28"/>
          <w:szCs w:val="28"/>
          <w:lang w:val="en-AU"/>
        </w:rPr>
      </w:pPr>
      <w:r w:rsidRPr="00C0583A">
        <w:rPr>
          <w:rFonts w:ascii="Arial" w:hAnsi="Arial"/>
          <w:sz w:val="28"/>
          <w:szCs w:val="28"/>
          <w:lang w:val="en-AU"/>
        </w:rPr>
        <w:t>when the rules of private international law lead to the application of the law of a Contracting State.</w:t>
      </w:r>
    </w:p>
    <w:p w14:paraId="1FFEB37B" w14:textId="0B53A7AE" w:rsidR="003C596A" w:rsidRPr="004D2568" w:rsidRDefault="003C596A" w:rsidP="00C0583A">
      <w:pPr>
        <w:spacing w:after="240" w:line="360" w:lineRule="auto"/>
        <w:rPr>
          <w:rFonts w:ascii="Arial" w:hAnsi="Arial"/>
          <w:sz w:val="28"/>
          <w:szCs w:val="28"/>
          <w:lang w:val="en-AU"/>
        </w:rPr>
      </w:pPr>
      <w:r w:rsidRPr="004D2568">
        <w:rPr>
          <w:rFonts w:ascii="Arial" w:hAnsi="Arial"/>
          <w:sz w:val="28"/>
          <w:szCs w:val="28"/>
          <w:lang w:val="en-AU"/>
        </w:rPr>
        <w:t>Thus, assume a contract for the sale of goods between an Australian seller and a Chinese buyer. The Convention will apply by reason of para</w:t>
      </w:r>
      <w:r w:rsidR="00775FE9">
        <w:rPr>
          <w:rFonts w:ascii="Arial" w:hAnsi="Arial"/>
          <w:sz w:val="28"/>
          <w:szCs w:val="28"/>
          <w:lang w:val="en-AU"/>
        </w:rPr>
        <w:t>graph</w:t>
      </w:r>
      <w:r w:rsidRPr="004D2568">
        <w:rPr>
          <w:rFonts w:ascii="Arial" w:hAnsi="Arial"/>
          <w:sz w:val="28"/>
          <w:szCs w:val="28"/>
          <w:lang w:val="en-AU"/>
        </w:rPr>
        <w:t xml:space="preserve"> (a). If </w:t>
      </w:r>
      <w:r w:rsidR="00775FE9">
        <w:rPr>
          <w:rFonts w:ascii="Arial" w:hAnsi="Arial"/>
          <w:sz w:val="28"/>
          <w:szCs w:val="28"/>
          <w:lang w:val="en-AU"/>
        </w:rPr>
        <w:t>a</w:t>
      </w:r>
      <w:r w:rsidRPr="004D2568">
        <w:rPr>
          <w:rFonts w:ascii="Arial" w:hAnsi="Arial"/>
          <w:sz w:val="28"/>
          <w:szCs w:val="28"/>
          <w:lang w:val="en-AU"/>
        </w:rPr>
        <w:t xml:space="preserve"> contract </w:t>
      </w:r>
      <w:r w:rsidR="00CD2684">
        <w:rPr>
          <w:rFonts w:ascii="Arial" w:hAnsi="Arial"/>
          <w:sz w:val="28"/>
          <w:szCs w:val="28"/>
          <w:lang w:val="en-AU"/>
        </w:rPr>
        <w:t xml:space="preserve">for the international sale of goods </w:t>
      </w:r>
      <w:r w:rsidRPr="004D2568">
        <w:rPr>
          <w:rFonts w:ascii="Arial" w:hAnsi="Arial"/>
          <w:sz w:val="28"/>
          <w:szCs w:val="28"/>
          <w:lang w:val="en-AU"/>
        </w:rPr>
        <w:t xml:space="preserve">provides that it is to be governed by the law of Japan, </w:t>
      </w:r>
      <w:r w:rsidR="0001300F">
        <w:rPr>
          <w:rFonts w:ascii="Arial" w:hAnsi="Arial"/>
          <w:sz w:val="28"/>
          <w:szCs w:val="28"/>
          <w:lang w:val="en-AU"/>
        </w:rPr>
        <w:t xml:space="preserve">then assuming that </w:t>
      </w:r>
      <w:r w:rsidR="0071779A">
        <w:rPr>
          <w:rFonts w:ascii="Arial" w:hAnsi="Arial"/>
          <w:sz w:val="28"/>
          <w:szCs w:val="28"/>
          <w:lang w:val="en-AU"/>
        </w:rPr>
        <w:t xml:space="preserve">by the rules of private international law </w:t>
      </w:r>
      <w:r w:rsidR="0001300F">
        <w:rPr>
          <w:rFonts w:ascii="Arial" w:hAnsi="Arial"/>
          <w:sz w:val="28"/>
          <w:szCs w:val="28"/>
          <w:lang w:val="en-AU"/>
        </w:rPr>
        <w:t>the law of a</w:t>
      </w:r>
      <w:r w:rsidR="0071779A">
        <w:rPr>
          <w:rFonts w:ascii="Arial" w:hAnsi="Arial"/>
          <w:sz w:val="28"/>
          <w:szCs w:val="28"/>
          <w:lang w:val="en-AU"/>
        </w:rPr>
        <w:t xml:space="preserve"> Contracting State, such as </w:t>
      </w:r>
      <w:r w:rsidR="0001300F">
        <w:rPr>
          <w:rFonts w:ascii="Arial" w:hAnsi="Arial"/>
          <w:sz w:val="28"/>
          <w:szCs w:val="28"/>
          <w:lang w:val="en-AU"/>
        </w:rPr>
        <w:t>Australia</w:t>
      </w:r>
      <w:r w:rsidR="0071779A">
        <w:rPr>
          <w:rFonts w:ascii="Arial" w:hAnsi="Arial"/>
          <w:sz w:val="28"/>
          <w:szCs w:val="28"/>
          <w:lang w:val="en-AU"/>
        </w:rPr>
        <w:t>,</w:t>
      </w:r>
      <w:r w:rsidR="0001300F">
        <w:rPr>
          <w:rFonts w:ascii="Arial" w:hAnsi="Arial"/>
          <w:sz w:val="28"/>
          <w:szCs w:val="28"/>
          <w:lang w:val="en-AU"/>
        </w:rPr>
        <w:t xml:space="preserve"> is </w:t>
      </w:r>
      <w:r w:rsidR="0071779A">
        <w:rPr>
          <w:rFonts w:ascii="Arial" w:hAnsi="Arial"/>
          <w:sz w:val="28"/>
          <w:szCs w:val="28"/>
          <w:lang w:val="en-AU"/>
        </w:rPr>
        <w:t>governing,</w:t>
      </w:r>
      <w:r w:rsidR="0001300F">
        <w:rPr>
          <w:rFonts w:ascii="Arial" w:hAnsi="Arial"/>
          <w:sz w:val="28"/>
          <w:szCs w:val="28"/>
          <w:lang w:val="en-AU"/>
        </w:rPr>
        <w:t xml:space="preserve"> </w:t>
      </w:r>
      <w:r w:rsidRPr="004D2568">
        <w:rPr>
          <w:rFonts w:ascii="Arial" w:hAnsi="Arial"/>
          <w:sz w:val="28"/>
          <w:szCs w:val="28"/>
          <w:lang w:val="en-AU"/>
        </w:rPr>
        <w:t>the Convention will apply by reason of para (b) above.</w:t>
      </w:r>
    </w:p>
    <w:p w14:paraId="4E06CA85" w14:textId="2354658D" w:rsidR="003C596A" w:rsidRPr="004D2568" w:rsidRDefault="003C596A" w:rsidP="00C0583A">
      <w:pPr>
        <w:spacing w:after="240" w:line="360" w:lineRule="auto"/>
        <w:rPr>
          <w:rFonts w:ascii="Arial" w:hAnsi="Arial"/>
          <w:sz w:val="28"/>
          <w:szCs w:val="28"/>
          <w:lang w:val="en-AU"/>
        </w:rPr>
      </w:pPr>
      <w:r w:rsidRPr="004D2568">
        <w:rPr>
          <w:rFonts w:ascii="Arial" w:hAnsi="Arial"/>
          <w:sz w:val="28"/>
          <w:szCs w:val="28"/>
          <w:lang w:val="en-AU"/>
        </w:rPr>
        <w:t>Article 2 provides that the CISG does not apply to certain categories of sales, eg, generally speaking, sales of goods bought for personal, family or household use; sales by auction; sales of ships; and sales of electricity.</w:t>
      </w:r>
    </w:p>
    <w:p w14:paraId="7CF30A4C" w14:textId="77C8938F" w:rsidR="003C596A" w:rsidRPr="004D2568" w:rsidRDefault="003C596A" w:rsidP="00C0583A">
      <w:pPr>
        <w:spacing w:after="240" w:line="360" w:lineRule="auto"/>
        <w:rPr>
          <w:rFonts w:ascii="Arial" w:hAnsi="Arial"/>
          <w:sz w:val="28"/>
          <w:szCs w:val="28"/>
          <w:lang w:val="en-AU"/>
        </w:rPr>
      </w:pPr>
      <w:r w:rsidRPr="004D2568">
        <w:rPr>
          <w:rFonts w:ascii="Arial" w:hAnsi="Arial"/>
          <w:sz w:val="28"/>
          <w:szCs w:val="28"/>
          <w:lang w:val="en-AU"/>
        </w:rPr>
        <w:t xml:space="preserve">Importantly, Article 6 provides that the parties may exclude the application of the Convention or, subject to Article 12, derogate from or vary the effect of any of its provisions. </w:t>
      </w:r>
      <w:r w:rsidR="0040036D">
        <w:rPr>
          <w:rFonts w:ascii="Arial" w:hAnsi="Arial"/>
          <w:sz w:val="28"/>
          <w:szCs w:val="28"/>
          <w:lang w:val="en-AU"/>
        </w:rPr>
        <w:t>I</w:t>
      </w:r>
      <w:r w:rsidRPr="004D2568">
        <w:rPr>
          <w:rFonts w:ascii="Arial" w:hAnsi="Arial"/>
          <w:sz w:val="28"/>
          <w:szCs w:val="28"/>
          <w:lang w:val="en-AU"/>
        </w:rPr>
        <w:t>t w</w:t>
      </w:r>
      <w:r w:rsidR="0040036D">
        <w:rPr>
          <w:rFonts w:ascii="Arial" w:hAnsi="Arial"/>
          <w:sz w:val="28"/>
          <w:szCs w:val="28"/>
          <w:lang w:val="en-AU"/>
        </w:rPr>
        <w:t>ould therefore</w:t>
      </w:r>
      <w:r w:rsidRPr="004D2568">
        <w:rPr>
          <w:rFonts w:ascii="Arial" w:hAnsi="Arial"/>
          <w:sz w:val="28"/>
          <w:szCs w:val="28"/>
          <w:lang w:val="en-AU"/>
        </w:rPr>
        <w:t xml:space="preserve"> be open to our Australian seller and Chinese buyer to agree </w:t>
      </w:r>
      <w:r w:rsidR="00224473">
        <w:rPr>
          <w:rFonts w:ascii="Arial" w:hAnsi="Arial"/>
          <w:sz w:val="28"/>
          <w:szCs w:val="28"/>
          <w:lang w:val="en-AU"/>
        </w:rPr>
        <w:t xml:space="preserve">simply to exclude the Convention or to agree </w:t>
      </w:r>
      <w:r w:rsidRPr="004D2568">
        <w:rPr>
          <w:rFonts w:ascii="Arial" w:hAnsi="Arial"/>
          <w:sz w:val="28"/>
          <w:szCs w:val="28"/>
          <w:lang w:val="en-AU"/>
        </w:rPr>
        <w:t xml:space="preserve">that their contract </w:t>
      </w:r>
      <w:r w:rsidR="00224473">
        <w:rPr>
          <w:rFonts w:ascii="Arial" w:hAnsi="Arial"/>
          <w:sz w:val="28"/>
          <w:szCs w:val="28"/>
          <w:lang w:val="en-AU"/>
        </w:rPr>
        <w:t>is</w:t>
      </w:r>
      <w:r w:rsidRPr="004D2568">
        <w:rPr>
          <w:rFonts w:ascii="Arial" w:hAnsi="Arial"/>
          <w:sz w:val="28"/>
          <w:szCs w:val="28"/>
          <w:lang w:val="en-AU"/>
        </w:rPr>
        <w:t xml:space="preserve"> to be governed by the law of England, even though the United Kingdom is not a Contracting State.</w:t>
      </w:r>
      <w:r w:rsidR="0040036D">
        <w:rPr>
          <w:rFonts w:ascii="Arial" w:hAnsi="Arial"/>
          <w:sz w:val="28"/>
          <w:szCs w:val="28"/>
          <w:lang w:val="en-AU"/>
        </w:rPr>
        <w:t xml:space="preserve"> Moreover, even if the</w:t>
      </w:r>
      <w:r w:rsidR="00CD2684">
        <w:rPr>
          <w:rFonts w:ascii="Arial" w:hAnsi="Arial"/>
          <w:sz w:val="28"/>
          <w:szCs w:val="28"/>
          <w:lang w:val="en-AU"/>
        </w:rPr>
        <w:t xml:space="preserve"> parties </w:t>
      </w:r>
      <w:r w:rsidR="0040036D">
        <w:rPr>
          <w:rFonts w:ascii="Arial" w:hAnsi="Arial"/>
          <w:sz w:val="28"/>
          <w:szCs w:val="28"/>
          <w:lang w:val="en-AU"/>
        </w:rPr>
        <w:t xml:space="preserve"> do not so provide expressly, </w:t>
      </w:r>
      <w:r w:rsidR="003960A4">
        <w:rPr>
          <w:rFonts w:ascii="Arial" w:hAnsi="Arial"/>
          <w:sz w:val="28"/>
          <w:szCs w:val="28"/>
          <w:lang w:val="en-AU"/>
        </w:rPr>
        <w:t>the</w:t>
      </w:r>
      <w:r w:rsidR="0040036D">
        <w:rPr>
          <w:rFonts w:ascii="Arial" w:hAnsi="Arial"/>
          <w:sz w:val="28"/>
          <w:szCs w:val="28"/>
          <w:lang w:val="en-AU"/>
        </w:rPr>
        <w:t xml:space="preserve"> application </w:t>
      </w:r>
      <w:r w:rsidR="003960A4">
        <w:rPr>
          <w:rFonts w:ascii="Arial" w:hAnsi="Arial"/>
          <w:sz w:val="28"/>
          <w:szCs w:val="28"/>
          <w:lang w:val="en-AU"/>
        </w:rPr>
        <w:t xml:space="preserve">of the Convention to their contract </w:t>
      </w:r>
      <w:r w:rsidR="0040036D">
        <w:rPr>
          <w:rFonts w:ascii="Arial" w:hAnsi="Arial"/>
          <w:sz w:val="28"/>
          <w:szCs w:val="28"/>
          <w:lang w:val="en-AU"/>
        </w:rPr>
        <w:t>will be subject to</w:t>
      </w:r>
      <w:r w:rsidR="003960A4">
        <w:rPr>
          <w:rFonts w:ascii="Arial" w:hAnsi="Arial"/>
          <w:sz w:val="28"/>
          <w:szCs w:val="28"/>
          <w:lang w:val="en-AU"/>
        </w:rPr>
        <w:t xml:space="preserve"> an</w:t>
      </w:r>
      <w:r w:rsidR="00CD2684">
        <w:rPr>
          <w:rFonts w:ascii="Arial" w:hAnsi="Arial"/>
          <w:sz w:val="28"/>
          <w:szCs w:val="28"/>
          <w:lang w:val="en-AU"/>
        </w:rPr>
        <w:t>y</w:t>
      </w:r>
      <w:r w:rsidR="003960A4">
        <w:rPr>
          <w:rFonts w:ascii="Arial" w:hAnsi="Arial"/>
          <w:sz w:val="28"/>
          <w:szCs w:val="28"/>
          <w:lang w:val="en-AU"/>
        </w:rPr>
        <w:t xml:space="preserve"> inconsistent express terms of it.</w:t>
      </w:r>
    </w:p>
    <w:p w14:paraId="0739B24F" w14:textId="64D1BDC6" w:rsidR="003C596A" w:rsidRPr="004D2568" w:rsidRDefault="003C596A" w:rsidP="00C0583A">
      <w:pPr>
        <w:spacing w:after="240" w:line="360" w:lineRule="auto"/>
        <w:rPr>
          <w:rFonts w:ascii="Arial" w:hAnsi="Arial"/>
          <w:sz w:val="28"/>
          <w:szCs w:val="28"/>
          <w:lang w:val="en-AU"/>
        </w:rPr>
      </w:pPr>
      <w:r w:rsidRPr="004D2568">
        <w:rPr>
          <w:rFonts w:ascii="Arial" w:hAnsi="Arial"/>
          <w:sz w:val="28"/>
          <w:szCs w:val="28"/>
          <w:lang w:val="en-AU"/>
        </w:rPr>
        <w:t xml:space="preserve">I turn to </w:t>
      </w:r>
      <w:r w:rsidR="0001300F">
        <w:rPr>
          <w:rFonts w:ascii="Arial" w:hAnsi="Arial"/>
          <w:sz w:val="28"/>
          <w:szCs w:val="28"/>
          <w:lang w:val="en-AU"/>
        </w:rPr>
        <w:t>three</w:t>
      </w:r>
      <w:r w:rsidRPr="004D2568">
        <w:rPr>
          <w:rFonts w:ascii="Arial" w:hAnsi="Arial"/>
          <w:sz w:val="28"/>
          <w:szCs w:val="28"/>
          <w:lang w:val="en-AU"/>
        </w:rPr>
        <w:t xml:space="preserve"> particular provisions.</w:t>
      </w:r>
    </w:p>
    <w:p w14:paraId="2AE2AC01" w14:textId="3B18B5DA" w:rsidR="003C596A" w:rsidRPr="004D2568" w:rsidRDefault="003C596A" w:rsidP="00D05B9A">
      <w:pPr>
        <w:spacing w:after="240" w:line="360" w:lineRule="auto"/>
        <w:rPr>
          <w:rFonts w:ascii="Arial" w:hAnsi="Arial"/>
          <w:sz w:val="28"/>
          <w:szCs w:val="28"/>
          <w:lang w:val="en-AU"/>
        </w:rPr>
      </w:pPr>
      <w:r w:rsidRPr="004D2568">
        <w:rPr>
          <w:rFonts w:ascii="Arial" w:hAnsi="Arial"/>
          <w:sz w:val="28"/>
          <w:szCs w:val="28"/>
          <w:lang w:val="en-AU"/>
        </w:rPr>
        <w:t>First, Article 7(1)</w:t>
      </w:r>
      <w:r w:rsidR="00224473">
        <w:rPr>
          <w:rFonts w:ascii="Arial" w:hAnsi="Arial"/>
          <w:sz w:val="28"/>
          <w:szCs w:val="28"/>
          <w:lang w:val="en-AU"/>
        </w:rPr>
        <w:t xml:space="preserve">, the interpretation Article, </w:t>
      </w:r>
      <w:r w:rsidRPr="004D2568">
        <w:rPr>
          <w:rFonts w:ascii="Arial" w:hAnsi="Arial"/>
          <w:sz w:val="28"/>
          <w:szCs w:val="28"/>
          <w:lang w:val="en-AU"/>
        </w:rPr>
        <w:t>provides:</w:t>
      </w:r>
    </w:p>
    <w:p w14:paraId="6E5772F7" w14:textId="6E909107" w:rsidR="003C1EA5" w:rsidRPr="004D2568" w:rsidRDefault="003C596A" w:rsidP="00D05B9A">
      <w:pPr>
        <w:spacing w:after="240" w:line="360" w:lineRule="auto"/>
        <w:ind w:left="851" w:right="1551"/>
        <w:rPr>
          <w:rFonts w:ascii="Arial" w:hAnsi="Arial"/>
          <w:sz w:val="28"/>
          <w:szCs w:val="28"/>
          <w:lang w:val="en-AU"/>
        </w:rPr>
      </w:pPr>
      <w:r w:rsidRPr="004D2568">
        <w:rPr>
          <w:rFonts w:ascii="Arial" w:hAnsi="Arial"/>
          <w:sz w:val="28"/>
          <w:szCs w:val="28"/>
          <w:lang w:val="en-AU"/>
        </w:rPr>
        <w:t>“In the interpretation of this Convention, regard is to be had to its international character and to the need to promote uniformity in its application and the observance of good faith in international trade.”</w:t>
      </w:r>
    </w:p>
    <w:p w14:paraId="5CD0FE33" w14:textId="2A7BFA48" w:rsidR="003C596A" w:rsidRPr="004D2568" w:rsidRDefault="00CD2684" w:rsidP="00D05B9A">
      <w:pPr>
        <w:spacing w:after="240" w:line="360" w:lineRule="auto"/>
        <w:rPr>
          <w:rFonts w:ascii="Arial" w:hAnsi="Arial"/>
          <w:sz w:val="28"/>
          <w:szCs w:val="28"/>
          <w:lang w:val="en-AU"/>
        </w:rPr>
      </w:pPr>
      <w:r>
        <w:rPr>
          <w:rFonts w:ascii="Arial" w:hAnsi="Arial"/>
          <w:sz w:val="28"/>
          <w:szCs w:val="28"/>
          <w:lang w:val="en-AU"/>
        </w:rPr>
        <w:lastRenderedPageBreak/>
        <w:t>T</w:t>
      </w:r>
      <w:r w:rsidR="003C596A" w:rsidRPr="004D2568">
        <w:rPr>
          <w:rFonts w:ascii="Arial" w:hAnsi="Arial"/>
          <w:sz w:val="28"/>
          <w:szCs w:val="28"/>
          <w:lang w:val="en-AU"/>
        </w:rPr>
        <w:t>his provision</w:t>
      </w:r>
      <w:r>
        <w:rPr>
          <w:rFonts w:ascii="Arial" w:hAnsi="Arial"/>
          <w:sz w:val="28"/>
          <w:szCs w:val="28"/>
          <w:lang w:val="en-AU"/>
        </w:rPr>
        <w:t>, of a kind not familiar to foreign lawyers,</w:t>
      </w:r>
      <w:r w:rsidR="003C596A" w:rsidRPr="004D2568">
        <w:rPr>
          <w:rFonts w:ascii="Arial" w:hAnsi="Arial"/>
          <w:sz w:val="28"/>
          <w:szCs w:val="28"/>
          <w:lang w:val="en-AU"/>
        </w:rPr>
        <w:t xml:space="preserve"> would require a court</w:t>
      </w:r>
      <w:r>
        <w:rPr>
          <w:rFonts w:ascii="Arial" w:hAnsi="Arial"/>
          <w:sz w:val="28"/>
          <w:szCs w:val="28"/>
          <w:lang w:val="en-AU"/>
        </w:rPr>
        <w:t>, in interpreting the Convention,</w:t>
      </w:r>
      <w:r w:rsidR="003C596A" w:rsidRPr="004D2568">
        <w:rPr>
          <w:rFonts w:ascii="Arial" w:hAnsi="Arial"/>
          <w:sz w:val="28"/>
          <w:szCs w:val="28"/>
          <w:lang w:val="en-AU"/>
        </w:rPr>
        <w:t xml:space="preserve"> </w:t>
      </w:r>
      <w:r w:rsidR="00224473">
        <w:rPr>
          <w:rFonts w:ascii="Arial" w:hAnsi="Arial"/>
          <w:sz w:val="28"/>
          <w:szCs w:val="28"/>
          <w:lang w:val="en-AU"/>
        </w:rPr>
        <w:t xml:space="preserve">at least </w:t>
      </w:r>
      <w:r w:rsidR="003C596A" w:rsidRPr="004D2568">
        <w:rPr>
          <w:rFonts w:ascii="Arial" w:hAnsi="Arial"/>
          <w:sz w:val="28"/>
          <w:szCs w:val="28"/>
          <w:lang w:val="en-AU"/>
        </w:rPr>
        <w:t>to have regard to</w:t>
      </w:r>
      <w:r>
        <w:rPr>
          <w:rFonts w:ascii="Arial" w:hAnsi="Arial"/>
          <w:sz w:val="28"/>
          <w:szCs w:val="28"/>
          <w:lang w:val="en-AU"/>
        </w:rPr>
        <w:t xml:space="preserve"> relevant</w:t>
      </w:r>
      <w:r w:rsidR="003C596A" w:rsidRPr="004D2568">
        <w:rPr>
          <w:rFonts w:ascii="Arial" w:hAnsi="Arial"/>
          <w:sz w:val="28"/>
          <w:szCs w:val="28"/>
          <w:lang w:val="en-AU"/>
        </w:rPr>
        <w:t xml:space="preserve"> decisions of the courts of other Contracting States. It would also require </w:t>
      </w:r>
      <w:r>
        <w:rPr>
          <w:rFonts w:ascii="Arial" w:hAnsi="Arial"/>
          <w:sz w:val="28"/>
          <w:szCs w:val="28"/>
          <w:lang w:val="en-AU"/>
        </w:rPr>
        <w:t>the</w:t>
      </w:r>
      <w:r w:rsidR="003C596A" w:rsidRPr="004D2568">
        <w:rPr>
          <w:rFonts w:ascii="Arial" w:hAnsi="Arial"/>
          <w:sz w:val="28"/>
          <w:szCs w:val="28"/>
          <w:lang w:val="en-AU"/>
        </w:rPr>
        <w:t xml:space="preserve"> court to have regard to </w:t>
      </w:r>
      <w:r>
        <w:rPr>
          <w:rFonts w:ascii="Arial" w:hAnsi="Arial"/>
          <w:sz w:val="28"/>
          <w:szCs w:val="28"/>
          <w:lang w:val="en-AU"/>
        </w:rPr>
        <w:t>the</w:t>
      </w:r>
      <w:r w:rsidR="003C596A" w:rsidRPr="004D2568">
        <w:rPr>
          <w:rFonts w:ascii="Arial" w:hAnsi="Arial"/>
          <w:sz w:val="28"/>
          <w:szCs w:val="28"/>
          <w:lang w:val="en-AU"/>
        </w:rPr>
        <w:t xml:space="preserve"> goal of promoting the observance of good faith in international trade.</w:t>
      </w:r>
      <w:r>
        <w:rPr>
          <w:rFonts w:ascii="Arial" w:hAnsi="Arial"/>
          <w:sz w:val="28"/>
          <w:szCs w:val="28"/>
          <w:lang w:val="en-AU"/>
        </w:rPr>
        <w:t xml:space="preserve"> But note that th</w:t>
      </w:r>
      <w:r w:rsidR="0071779A">
        <w:rPr>
          <w:rFonts w:ascii="Arial" w:hAnsi="Arial"/>
          <w:sz w:val="28"/>
          <w:szCs w:val="28"/>
          <w:lang w:val="en-AU"/>
        </w:rPr>
        <w:t>is</w:t>
      </w:r>
      <w:r>
        <w:rPr>
          <w:rFonts w:ascii="Arial" w:hAnsi="Arial"/>
          <w:sz w:val="28"/>
          <w:szCs w:val="28"/>
          <w:lang w:val="en-AU"/>
        </w:rPr>
        <w:t xml:space="preserve"> is in the interpretation of the Convention: we are not speaking here of a substantive contractual obligation of good faith.</w:t>
      </w:r>
    </w:p>
    <w:p w14:paraId="01C41C5F" w14:textId="732591CC" w:rsidR="002E2D49" w:rsidRPr="004D2568" w:rsidRDefault="003C596A" w:rsidP="00D05B9A">
      <w:pPr>
        <w:spacing w:after="240" w:line="360" w:lineRule="auto"/>
        <w:rPr>
          <w:rFonts w:ascii="Arial" w:hAnsi="Arial"/>
          <w:sz w:val="28"/>
          <w:szCs w:val="28"/>
          <w:lang w:val="en-AU"/>
        </w:rPr>
      </w:pPr>
      <w:r w:rsidRPr="004D2568">
        <w:rPr>
          <w:rFonts w:ascii="Arial" w:hAnsi="Arial"/>
          <w:sz w:val="28"/>
          <w:szCs w:val="28"/>
          <w:lang w:val="en-AU"/>
        </w:rPr>
        <w:t xml:space="preserve">The second provision </w:t>
      </w:r>
      <w:r w:rsidR="003960A4">
        <w:rPr>
          <w:rFonts w:ascii="Arial" w:hAnsi="Arial"/>
          <w:sz w:val="28"/>
          <w:szCs w:val="28"/>
          <w:lang w:val="en-AU"/>
        </w:rPr>
        <w:t xml:space="preserve">to which I referred </w:t>
      </w:r>
      <w:r w:rsidR="00D05B9A">
        <w:rPr>
          <w:rFonts w:ascii="Arial" w:hAnsi="Arial"/>
          <w:sz w:val="28"/>
          <w:szCs w:val="28"/>
          <w:lang w:val="en-AU"/>
        </w:rPr>
        <w:t xml:space="preserve">earlier </w:t>
      </w:r>
      <w:r w:rsidRPr="004D2568">
        <w:rPr>
          <w:rFonts w:ascii="Arial" w:hAnsi="Arial"/>
          <w:sz w:val="28"/>
          <w:szCs w:val="28"/>
          <w:lang w:val="en-AU"/>
        </w:rPr>
        <w:t xml:space="preserve">relates to avoidance (termination) for breach.  Article 49(1) provides that the buyer may declare the contract </w:t>
      </w:r>
      <w:r w:rsidR="002E2D49" w:rsidRPr="004D2568">
        <w:rPr>
          <w:rFonts w:ascii="Arial" w:hAnsi="Arial"/>
          <w:sz w:val="28"/>
          <w:szCs w:val="28"/>
          <w:lang w:val="en-AU"/>
        </w:rPr>
        <w:t>a</w:t>
      </w:r>
      <w:r w:rsidRPr="004D2568">
        <w:rPr>
          <w:rFonts w:ascii="Arial" w:hAnsi="Arial"/>
          <w:sz w:val="28"/>
          <w:szCs w:val="28"/>
          <w:lang w:val="en-AU"/>
        </w:rPr>
        <w:t xml:space="preserve">voided if the failure by the seller to perform any of </w:t>
      </w:r>
      <w:r w:rsidR="00224473">
        <w:rPr>
          <w:rFonts w:ascii="Arial" w:hAnsi="Arial"/>
          <w:sz w:val="28"/>
          <w:szCs w:val="28"/>
          <w:lang w:val="en-AU"/>
        </w:rPr>
        <w:t>its</w:t>
      </w:r>
      <w:r w:rsidRPr="004D2568">
        <w:rPr>
          <w:rFonts w:ascii="Arial" w:hAnsi="Arial"/>
          <w:sz w:val="28"/>
          <w:szCs w:val="28"/>
          <w:lang w:val="en-AU"/>
        </w:rPr>
        <w:t xml:space="preserve"> obligations under the contract or under the Convention amounts to a “fundamental breach” of contract.  Similarly, Art 64(1) provides that the seller may declare the contract avoided if the buyer’s failure to</w:t>
      </w:r>
      <w:r w:rsidR="002E2D49" w:rsidRPr="004D2568">
        <w:rPr>
          <w:rFonts w:ascii="Arial" w:hAnsi="Arial"/>
          <w:sz w:val="28"/>
          <w:szCs w:val="28"/>
          <w:lang w:val="en-AU"/>
        </w:rPr>
        <w:t xml:space="preserve"> perform any of </w:t>
      </w:r>
      <w:r w:rsidR="00224473">
        <w:rPr>
          <w:rFonts w:ascii="Arial" w:hAnsi="Arial"/>
          <w:sz w:val="28"/>
          <w:szCs w:val="28"/>
          <w:lang w:val="en-AU"/>
        </w:rPr>
        <w:t>its</w:t>
      </w:r>
      <w:r w:rsidR="002E2D49" w:rsidRPr="004D2568">
        <w:rPr>
          <w:rFonts w:ascii="Arial" w:hAnsi="Arial"/>
          <w:sz w:val="28"/>
          <w:szCs w:val="28"/>
          <w:lang w:val="en-AU"/>
        </w:rPr>
        <w:t xml:space="preserve"> obligations under the contract or the Convention amounts to a “fundamental breach” of contract. The concept of “fundamental breach” is defined in Art 25 as follows:</w:t>
      </w:r>
    </w:p>
    <w:p w14:paraId="01EAD84C" w14:textId="7C405DA5" w:rsidR="002E2D49" w:rsidRPr="004D2568" w:rsidRDefault="002E2D49" w:rsidP="00D05B9A">
      <w:pPr>
        <w:spacing w:after="240" w:line="360" w:lineRule="auto"/>
        <w:ind w:left="851" w:right="1977"/>
        <w:rPr>
          <w:rFonts w:ascii="Arial" w:hAnsi="Arial"/>
          <w:sz w:val="28"/>
          <w:szCs w:val="28"/>
          <w:lang w:val="en-AU"/>
        </w:rPr>
      </w:pPr>
      <w:r w:rsidRPr="004D2568">
        <w:rPr>
          <w:rFonts w:ascii="Arial" w:hAnsi="Arial"/>
          <w:sz w:val="28"/>
          <w:szCs w:val="28"/>
          <w:lang w:val="en-AU"/>
        </w:rPr>
        <w:t>“A breach of contract committed by one of the</w:t>
      </w:r>
      <w:r w:rsidR="00D05B9A">
        <w:rPr>
          <w:rFonts w:ascii="Arial" w:hAnsi="Arial"/>
          <w:sz w:val="28"/>
          <w:szCs w:val="28"/>
          <w:lang w:val="en-AU"/>
        </w:rPr>
        <w:t xml:space="preserve"> </w:t>
      </w:r>
      <w:r w:rsidRPr="004D2568">
        <w:rPr>
          <w:rFonts w:ascii="Arial" w:hAnsi="Arial"/>
          <w:sz w:val="28"/>
          <w:szCs w:val="28"/>
          <w:lang w:val="en-AU"/>
        </w:rPr>
        <w:t>parties is fundamental if it results in such detriment to the other party as substantially to deprive him of what he is entitled to expect under the contract, unless the party in breach did not foresee and a reasonable person of the same kind in the same circumstances would not have foreseen</w:t>
      </w:r>
      <w:r w:rsidR="001E525A">
        <w:rPr>
          <w:rFonts w:ascii="Arial" w:hAnsi="Arial"/>
          <w:sz w:val="28"/>
          <w:szCs w:val="28"/>
          <w:lang w:val="en-AU"/>
        </w:rPr>
        <w:t>,</w:t>
      </w:r>
      <w:r w:rsidRPr="004D2568">
        <w:rPr>
          <w:rFonts w:ascii="Arial" w:hAnsi="Arial"/>
          <w:sz w:val="28"/>
          <w:szCs w:val="28"/>
          <w:lang w:val="en-AU"/>
        </w:rPr>
        <w:t xml:space="preserve"> such a result.”</w:t>
      </w:r>
    </w:p>
    <w:p w14:paraId="227F0714" w14:textId="4C556F10" w:rsidR="002E2D49" w:rsidRPr="004D2568" w:rsidRDefault="002E2D49" w:rsidP="00D05B9A">
      <w:pPr>
        <w:spacing w:after="240" w:line="360" w:lineRule="auto"/>
        <w:rPr>
          <w:rFonts w:ascii="Arial" w:hAnsi="Arial"/>
          <w:sz w:val="28"/>
          <w:szCs w:val="28"/>
          <w:lang w:val="en-AU"/>
        </w:rPr>
      </w:pPr>
      <w:r w:rsidRPr="004D2568">
        <w:rPr>
          <w:rFonts w:ascii="Arial" w:hAnsi="Arial"/>
          <w:sz w:val="28"/>
          <w:szCs w:val="28"/>
          <w:lang w:val="en-AU"/>
        </w:rPr>
        <w:t xml:space="preserve">These provisions are different from the domestic law of Australia (and of the UK) relating to the sale of goods which </w:t>
      </w:r>
      <w:r w:rsidR="00CD2684">
        <w:rPr>
          <w:rFonts w:ascii="Arial" w:hAnsi="Arial"/>
          <w:sz w:val="28"/>
          <w:szCs w:val="28"/>
          <w:lang w:val="en-AU"/>
        </w:rPr>
        <w:t xml:space="preserve">also </w:t>
      </w:r>
      <w:r w:rsidRPr="004D2568">
        <w:rPr>
          <w:rFonts w:ascii="Arial" w:hAnsi="Arial"/>
          <w:sz w:val="28"/>
          <w:szCs w:val="28"/>
          <w:lang w:val="en-AU"/>
        </w:rPr>
        <w:t xml:space="preserve">permits termination for breach of a </w:t>
      </w:r>
      <w:r w:rsidR="0071779A">
        <w:rPr>
          <w:rFonts w:ascii="Arial" w:hAnsi="Arial"/>
          <w:sz w:val="28"/>
          <w:szCs w:val="28"/>
          <w:lang w:val="en-AU"/>
        </w:rPr>
        <w:t xml:space="preserve">contractual </w:t>
      </w:r>
      <w:r w:rsidRPr="004D2568">
        <w:rPr>
          <w:rFonts w:ascii="Arial" w:hAnsi="Arial"/>
          <w:sz w:val="28"/>
          <w:szCs w:val="28"/>
          <w:lang w:val="en-AU"/>
        </w:rPr>
        <w:t xml:space="preserve">term that </w:t>
      </w:r>
      <w:r w:rsidR="0071779A">
        <w:rPr>
          <w:rFonts w:ascii="Arial" w:hAnsi="Arial"/>
          <w:sz w:val="28"/>
          <w:szCs w:val="28"/>
          <w:lang w:val="en-AU"/>
        </w:rPr>
        <w:t>constitutes</w:t>
      </w:r>
      <w:r w:rsidR="00CD2684">
        <w:rPr>
          <w:rFonts w:ascii="Arial" w:hAnsi="Arial"/>
          <w:sz w:val="28"/>
          <w:szCs w:val="28"/>
          <w:lang w:val="en-AU"/>
        </w:rPr>
        <w:t xml:space="preserve"> </w:t>
      </w:r>
      <w:r w:rsidRPr="004D2568">
        <w:rPr>
          <w:rFonts w:ascii="Arial" w:hAnsi="Arial"/>
          <w:sz w:val="28"/>
          <w:szCs w:val="28"/>
          <w:lang w:val="en-AU"/>
        </w:rPr>
        <w:t>a “condition” of the contract.</w:t>
      </w:r>
    </w:p>
    <w:p w14:paraId="286288C1" w14:textId="06B1DB1A" w:rsidR="0001300F" w:rsidRDefault="002E2D49" w:rsidP="00D05B9A">
      <w:pPr>
        <w:spacing w:after="240" w:line="360" w:lineRule="auto"/>
        <w:rPr>
          <w:rFonts w:ascii="Arial" w:hAnsi="Arial"/>
          <w:sz w:val="28"/>
          <w:szCs w:val="28"/>
          <w:lang w:val="en-AU"/>
        </w:rPr>
      </w:pPr>
      <w:r w:rsidRPr="004D2568">
        <w:rPr>
          <w:rFonts w:ascii="Arial" w:hAnsi="Arial"/>
          <w:sz w:val="28"/>
          <w:szCs w:val="28"/>
          <w:lang w:val="en-AU"/>
        </w:rPr>
        <w:lastRenderedPageBreak/>
        <w:t xml:space="preserve">It is understood that the view has been taken in the United Kingdom that </w:t>
      </w:r>
      <w:r w:rsidR="001E525A">
        <w:rPr>
          <w:rFonts w:ascii="Arial" w:hAnsi="Arial"/>
          <w:sz w:val="28"/>
          <w:szCs w:val="28"/>
          <w:lang w:val="en-AU"/>
        </w:rPr>
        <w:t>the interpretation Article (</w:t>
      </w:r>
      <w:r w:rsidRPr="004D2568">
        <w:rPr>
          <w:rFonts w:ascii="Arial" w:hAnsi="Arial"/>
          <w:sz w:val="28"/>
          <w:szCs w:val="28"/>
          <w:lang w:val="en-AU"/>
        </w:rPr>
        <w:t>Art 7</w:t>
      </w:r>
      <w:r w:rsidR="001E525A">
        <w:rPr>
          <w:rFonts w:ascii="Arial" w:hAnsi="Arial"/>
          <w:sz w:val="28"/>
          <w:szCs w:val="28"/>
          <w:lang w:val="en-AU"/>
        </w:rPr>
        <w:t>)</w:t>
      </w:r>
      <w:r w:rsidRPr="004D2568">
        <w:rPr>
          <w:rFonts w:ascii="Arial" w:hAnsi="Arial"/>
          <w:sz w:val="28"/>
          <w:szCs w:val="28"/>
          <w:lang w:val="en-AU"/>
        </w:rPr>
        <w:t xml:space="preserve"> is too wide and uncertain in its scope</w:t>
      </w:r>
      <w:r w:rsidR="003960A4">
        <w:rPr>
          <w:rFonts w:ascii="Arial" w:hAnsi="Arial"/>
          <w:sz w:val="28"/>
          <w:szCs w:val="28"/>
          <w:lang w:val="en-AU"/>
        </w:rPr>
        <w:t xml:space="preserve"> to be acceptable</w:t>
      </w:r>
      <w:r w:rsidRPr="004D2568">
        <w:rPr>
          <w:rFonts w:ascii="Arial" w:hAnsi="Arial"/>
          <w:sz w:val="28"/>
          <w:szCs w:val="28"/>
          <w:lang w:val="en-AU"/>
        </w:rPr>
        <w:t xml:space="preserve">, and </w:t>
      </w:r>
      <w:r w:rsidR="001E525A">
        <w:rPr>
          <w:rFonts w:ascii="Arial" w:hAnsi="Arial"/>
          <w:sz w:val="28"/>
          <w:szCs w:val="28"/>
          <w:lang w:val="en-AU"/>
        </w:rPr>
        <w:t xml:space="preserve">that the </w:t>
      </w:r>
      <w:r w:rsidR="003960A4">
        <w:rPr>
          <w:rFonts w:ascii="Arial" w:hAnsi="Arial"/>
          <w:sz w:val="28"/>
          <w:szCs w:val="28"/>
          <w:lang w:val="en-AU"/>
        </w:rPr>
        <w:t>limitation of the right of termination</w:t>
      </w:r>
      <w:r w:rsidR="00CD2684">
        <w:rPr>
          <w:rFonts w:ascii="Arial" w:hAnsi="Arial"/>
          <w:sz w:val="28"/>
          <w:szCs w:val="28"/>
          <w:lang w:val="en-AU"/>
        </w:rPr>
        <w:t xml:space="preserve"> for breach</w:t>
      </w:r>
      <w:r w:rsidR="003960A4">
        <w:rPr>
          <w:rFonts w:ascii="Arial" w:hAnsi="Arial"/>
          <w:sz w:val="28"/>
          <w:szCs w:val="28"/>
          <w:lang w:val="en-AU"/>
        </w:rPr>
        <w:t xml:space="preserve"> to cases of </w:t>
      </w:r>
      <w:r w:rsidR="001E525A">
        <w:rPr>
          <w:rFonts w:ascii="Arial" w:hAnsi="Arial"/>
          <w:sz w:val="28"/>
          <w:szCs w:val="28"/>
          <w:lang w:val="en-AU"/>
        </w:rPr>
        <w:t>fundamental breach (</w:t>
      </w:r>
      <w:r w:rsidRPr="004D2568">
        <w:rPr>
          <w:rFonts w:ascii="Arial" w:hAnsi="Arial"/>
          <w:sz w:val="28"/>
          <w:szCs w:val="28"/>
          <w:lang w:val="en-AU"/>
        </w:rPr>
        <w:t>Arts 49(1), 64(1) and 25</w:t>
      </w:r>
      <w:r w:rsidR="001E525A">
        <w:rPr>
          <w:rFonts w:ascii="Arial" w:hAnsi="Arial"/>
          <w:sz w:val="28"/>
          <w:szCs w:val="28"/>
          <w:lang w:val="en-AU"/>
        </w:rPr>
        <w:t>)</w:t>
      </w:r>
      <w:r w:rsidRPr="004D2568">
        <w:rPr>
          <w:rFonts w:ascii="Arial" w:hAnsi="Arial"/>
          <w:sz w:val="28"/>
          <w:szCs w:val="28"/>
          <w:lang w:val="en-AU"/>
        </w:rPr>
        <w:t xml:space="preserve"> </w:t>
      </w:r>
      <w:r w:rsidR="003960A4">
        <w:rPr>
          <w:rFonts w:ascii="Arial" w:hAnsi="Arial"/>
          <w:sz w:val="28"/>
          <w:szCs w:val="28"/>
          <w:lang w:val="en-AU"/>
        </w:rPr>
        <w:t>is</w:t>
      </w:r>
      <w:r w:rsidRPr="004D2568">
        <w:rPr>
          <w:rFonts w:ascii="Arial" w:hAnsi="Arial"/>
          <w:sz w:val="28"/>
          <w:szCs w:val="28"/>
          <w:lang w:val="en-AU"/>
        </w:rPr>
        <w:t xml:space="preserve"> too restrictive, to be acceptable.</w:t>
      </w:r>
    </w:p>
    <w:p w14:paraId="6BE4CEEF" w14:textId="455C6A63" w:rsidR="00387C65" w:rsidRDefault="00387C65" w:rsidP="00D05B9A">
      <w:pPr>
        <w:spacing w:after="240" w:line="360" w:lineRule="auto"/>
        <w:rPr>
          <w:rFonts w:ascii="Arial" w:hAnsi="Arial"/>
          <w:sz w:val="28"/>
          <w:szCs w:val="28"/>
          <w:lang w:val="en-AU"/>
        </w:rPr>
      </w:pPr>
      <w:r>
        <w:rPr>
          <w:rFonts w:ascii="Arial" w:hAnsi="Arial"/>
          <w:sz w:val="28"/>
          <w:szCs w:val="28"/>
          <w:lang w:val="en-AU"/>
        </w:rPr>
        <w:t xml:space="preserve">Before leaving termination for fundamental breach, I would like to raise a </w:t>
      </w:r>
      <w:r w:rsidR="00862DE2">
        <w:rPr>
          <w:rFonts w:ascii="Arial" w:hAnsi="Arial"/>
          <w:sz w:val="28"/>
          <w:szCs w:val="28"/>
          <w:lang w:val="en-AU"/>
        </w:rPr>
        <w:t xml:space="preserve">jurisprudential </w:t>
      </w:r>
      <w:r>
        <w:rPr>
          <w:rFonts w:ascii="Arial" w:hAnsi="Arial"/>
          <w:sz w:val="28"/>
          <w:szCs w:val="28"/>
          <w:lang w:val="en-AU"/>
        </w:rPr>
        <w:t xml:space="preserve">question, which, for all I know, may have been noted and discussed by others. </w:t>
      </w:r>
      <w:r w:rsidR="003B181F">
        <w:rPr>
          <w:rFonts w:ascii="Arial" w:hAnsi="Arial"/>
          <w:sz w:val="28"/>
          <w:szCs w:val="28"/>
          <w:lang w:val="en-AU"/>
        </w:rPr>
        <w:t xml:space="preserve">The distinction between a statutory implication of conditions and warranties into contracts for the sales of goods, either generally or specifically in consumer transactions, </w:t>
      </w:r>
      <w:r w:rsidR="00862DE2">
        <w:rPr>
          <w:rFonts w:ascii="Arial" w:hAnsi="Arial"/>
          <w:sz w:val="28"/>
          <w:szCs w:val="28"/>
          <w:lang w:val="en-AU"/>
        </w:rPr>
        <w:t xml:space="preserve">and contravention of an obligation imposed unilaterally by statute, </w:t>
      </w:r>
      <w:r w:rsidR="003B181F">
        <w:rPr>
          <w:rFonts w:ascii="Arial" w:hAnsi="Arial"/>
          <w:sz w:val="28"/>
          <w:szCs w:val="28"/>
          <w:lang w:val="en-AU"/>
        </w:rPr>
        <w:t xml:space="preserve">is well known. Breach </w:t>
      </w:r>
      <w:r w:rsidR="00862DE2">
        <w:rPr>
          <w:rFonts w:ascii="Arial" w:hAnsi="Arial"/>
          <w:sz w:val="28"/>
          <w:szCs w:val="28"/>
          <w:lang w:val="en-AU"/>
        </w:rPr>
        <w:t xml:space="preserve">of the former </w:t>
      </w:r>
      <w:r w:rsidR="003B181F">
        <w:rPr>
          <w:rFonts w:ascii="Arial" w:hAnsi="Arial"/>
          <w:sz w:val="28"/>
          <w:szCs w:val="28"/>
          <w:lang w:val="en-AU"/>
        </w:rPr>
        <w:t xml:space="preserve">is </w:t>
      </w:r>
      <w:r w:rsidR="00862DE2">
        <w:rPr>
          <w:rFonts w:ascii="Arial" w:hAnsi="Arial"/>
          <w:sz w:val="28"/>
          <w:szCs w:val="28"/>
          <w:lang w:val="en-AU"/>
        </w:rPr>
        <w:t xml:space="preserve">a </w:t>
      </w:r>
      <w:r w:rsidR="003B181F">
        <w:rPr>
          <w:rFonts w:ascii="Arial" w:hAnsi="Arial"/>
          <w:sz w:val="28"/>
          <w:szCs w:val="28"/>
          <w:lang w:val="en-AU"/>
        </w:rPr>
        <w:t xml:space="preserve">breach of contract, the </w:t>
      </w:r>
      <w:r w:rsidR="00862DE2">
        <w:rPr>
          <w:rFonts w:ascii="Arial" w:hAnsi="Arial"/>
          <w:sz w:val="28"/>
          <w:szCs w:val="28"/>
          <w:lang w:val="en-AU"/>
        </w:rPr>
        <w:t xml:space="preserve">remedies for which are obtainable in courts having jurisdiction to enforce contractual obligations. But the remedy for contraventions of the latter kind will attract the remedies provided by the statute which will be obtainable in courts given jurisdiction by the statute. In terms, the Convention directly imposes obligations on buyer and seller. But the many references in the Convention to breach of contract suggest that non-observance of any of those obligation was intended to be regarded as a breach of contract. I will say no more on this curious point. </w:t>
      </w:r>
    </w:p>
    <w:p w14:paraId="5FA06507" w14:textId="03572C22" w:rsidR="003D655D" w:rsidRDefault="0001300F" w:rsidP="00D05B9A">
      <w:pPr>
        <w:spacing w:after="240" w:line="360" w:lineRule="auto"/>
        <w:rPr>
          <w:rFonts w:ascii="Arial" w:hAnsi="Arial"/>
          <w:sz w:val="28"/>
          <w:szCs w:val="28"/>
          <w:lang w:val="en-AU"/>
        </w:rPr>
      </w:pPr>
      <w:r>
        <w:rPr>
          <w:rFonts w:ascii="Arial" w:hAnsi="Arial"/>
          <w:sz w:val="28"/>
          <w:szCs w:val="28"/>
          <w:lang w:val="en-AU"/>
        </w:rPr>
        <w:t>The third provision to which I referred</w:t>
      </w:r>
      <w:r w:rsidR="0071779A">
        <w:rPr>
          <w:rFonts w:ascii="Arial" w:hAnsi="Arial"/>
          <w:sz w:val="28"/>
          <w:szCs w:val="28"/>
          <w:lang w:val="en-AU"/>
        </w:rPr>
        <w:t xml:space="preserve"> earlier</w:t>
      </w:r>
      <w:r>
        <w:rPr>
          <w:rFonts w:ascii="Arial" w:hAnsi="Arial"/>
          <w:sz w:val="28"/>
          <w:szCs w:val="28"/>
          <w:lang w:val="en-AU"/>
        </w:rPr>
        <w:t xml:space="preserve"> is Art 39. The preceding Art 38 provides that the buyer must examine the goods or cause them to be examined “within as short a period as is practicable in the circumstances”. Article 39 provides that the buyer loses the right to rely on the lack of conformity of the goods if he does not give notice to the seller specifying the nature of the lack of conformity within a reasonable time after he has discovered it or ought to have discovered it</w:t>
      </w:r>
      <w:r w:rsidR="003D655D">
        <w:rPr>
          <w:rFonts w:ascii="Arial" w:hAnsi="Arial"/>
          <w:sz w:val="28"/>
          <w:szCs w:val="28"/>
          <w:lang w:val="en-AU"/>
        </w:rPr>
        <w:t>, and in any event within two years from the date on which the goods were actually handed over to the buyer.</w:t>
      </w:r>
    </w:p>
    <w:p w14:paraId="070E4185" w14:textId="655C4E8C" w:rsidR="003960A4" w:rsidRDefault="003D655D" w:rsidP="00D05B9A">
      <w:pPr>
        <w:spacing w:after="240" w:line="360" w:lineRule="auto"/>
        <w:rPr>
          <w:rFonts w:ascii="Arial" w:hAnsi="Arial"/>
          <w:sz w:val="28"/>
          <w:szCs w:val="28"/>
          <w:lang w:val="en-AU"/>
        </w:rPr>
      </w:pPr>
      <w:r>
        <w:rPr>
          <w:rFonts w:ascii="Arial" w:hAnsi="Arial"/>
          <w:sz w:val="28"/>
          <w:szCs w:val="28"/>
          <w:lang w:val="en-AU"/>
        </w:rPr>
        <w:lastRenderedPageBreak/>
        <w:t>While there are some qualifications, they do not prevent us from saying that these provisions have no counterparts in Australian domestic sale of goods law</w:t>
      </w:r>
      <w:r w:rsidR="00D05B9A">
        <w:rPr>
          <w:rFonts w:ascii="Arial" w:hAnsi="Arial"/>
          <w:sz w:val="28"/>
          <w:szCs w:val="28"/>
          <w:lang w:val="en-AU"/>
        </w:rPr>
        <w:t>.</w:t>
      </w:r>
    </w:p>
    <w:p w14:paraId="37023124" w14:textId="213E2E26" w:rsidR="00FC6EFC" w:rsidRDefault="003960A4" w:rsidP="00D05B9A">
      <w:pPr>
        <w:spacing w:after="240" w:line="360" w:lineRule="auto"/>
        <w:rPr>
          <w:rFonts w:ascii="Arial" w:hAnsi="Arial"/>
          <w:sz w:val="28"/>
          <w:szCs w:val="28"/>
          <w:lang w:val="en-AU"/>
        </w:rPr>
      </w:pPr>
      <w:r>
        <w:rPr>
          <w:rFonts w:ascii="Arial" w:hAnsi="Arial"/>
          <w:sz w:val="28"/>
          <w:szCs w:val="28"/>
          <w:lang w:val="en-AU"/>
        </w:rPr>
        <w:t xml:space="preserve">This brings me back to the impact that the CISG has had. It has been suggested that a further reason why the United Kingdom has not acceded to it is a concern that it might result in a loss of commercial litigation and commercial arbitration </w:t>
      </w:r>
      <w:r w:rsidR="00BF1F9D">
        <w:rPr>
          <w:rFonts w:ascii="Arial" w:hAnsi="Arial"/>
          <w:sz w:val="28"/>
          <w:szCs w:val="28"/>
          <w:lang w:val="en-AU"/>
        </w:rPr>
        <w:t>from</w:t>
      </w:r>
      <w:r>
        <w:rPr>
          <w:rFonts w:ascii="Arial" w:hAnsi="Arial"/>
          <w:sz w:val="28"/>
          <w:szCs w:val="28"/>
          <w:lang w:val="en-AU"/>
        </w:rPr>
        <w:t xml:space="preserve"> London. The reasoning seems to </w:t>
      </w:r>
      <w:r w:rsidR="00FC6EFC">
        <w:rPr>
          <w:rFonts w:ascii="Arial" w:hAnsi="Arial"/>
          <w:sz w:val="28"/>
          <w:szCs w:val="28"/>
          <w:lang w:val="en-AU"/>
        </w:rPr>
        <w:t>proceed along these lines.  W</w:t>
      </w:r>
      <w:r>
        <w:rPr>
          <w:rFonts w:ascii="Arial" w:hAnsi="Arial"/>
          <w:sz w:val="28"/>
          <w:szCs w:val="28"/>
          <w:lang w:val="en-AU"/>
        </w:rPr>
        <w:t xml:space="preserve">hen English law </w:t>
      </w:r>
      <w:r w:rsidR="00CD2684">
        <w:rPr>
          <w:rFonts w:ascii="Arial" w:hAnsi="Arial"/>
          <w:sz w:val="28"/>
          <w:szCs w:val="28"/>
          <w:lang w:val="en-AU"/>
        </w:rPr>
        <w:t>governs</w:t>
      </w:r>
      <w:r>
        <w:rPr>
          <w:rFonts w:ascii="Arial" w:hAnsi="Arial"/>
          <w:sz w:val="28"/>
          <w:szCs w:val="28"/>
          <w:lang w:val="en-AU"/>
        </w:rPr>
        <w:t xml:space="preserve"> a contract for the international sale of goods, </w:t>
      </w:r>
      <w:r w:rsidR="00FC6EFC">
        <w:rPr>
          <w:rFonts w:ascii="Arial" w:hAnsi="Arial"/>
          <w:sz w:val="28"/>
          <w:szCs w:val="28"/>
          <w:lang w:val="en-AU"/>
        </w:rPr>
        <w:t xml:space="preserve">the parties will often choose litigation or arbitration in London for the resolution of any dispute between them. </w:t>
      </w:r>
      <w:r w:rsidR="00CD2684">
        <w:rPr>
          <w:rFonts w:ascii="Arial" w:hAnsi="Arial"/>
          <w:sz w:val="28"/>
          <w:szCs w:val="28"/>
          <w:lang w:val="en-AU"/>
        </w:rPr>
        <w:t>In contrast,</w:t>
      </w:r>
      <w:r w:rsidR="00FC6EFC">
        <w:rPr>
          <w:rFonts w:ascii="Arial" w:hAnsi="Arial"/>
          <w:sz w:val="28"/>
          <w:szCs w:val="28"/>
          <w:lang w:val="en-AU"/>
        </w:rPr>
        <w:t xml:space="preserve"> the </w:t>
      </w:r>
      <w:r w:rsidR="00CD2684">
        <w:rPr>
          <w:rFonts w:ascii="Arial" w:hAnsi="Arial"/>
          <w:sz w:val="28"/>
          <w:szCs w:val="28"/>
          <w:lang w:val="en-AU"/>
        </w:rPr>
        <w:t xml:space="preserve">application of the </w:t>
      </w:r>
      <w:r w:rsidR="00FC6EFC">
        <w:rPr>
          <w:rFonts w:ascii="Arial" w:hAnsi="Arial"/>
          <w:sz w:val="28"/>
          <w:szCs w:val="28"/>
          <w:lang w:val="en-AU"/>
        </w:rPr>
        <w:t xml:space="preserve">CISG </w:t>
      </w:r>
      <w:r w:rsidR="0071779A">
        <w:rPr>
          <w:rFonts w:ascii="Arial" w:hAnsi="Arial"/>
          <w:sz w:val="28"/>
          <w:szCs w:val="28"/>
          <w:lang w:val="en-AU"/>
        </w:rPr>
        <w:t xml:space="preserve">clearly </w:t>
      </w:r>
      <w:r w:rsidR="00FC6EFC">
        <w:rPr>
          <w:rFonts w:ascii="Arial" w:hAnsi="Arial"/>
          <w:sz w:val="28"/>
          <w:szCs w:val="28"/>
          <w:lang w:val="en-AU"/>
        </w:rPr>
        <w:t xml:space="preserve">does not favour any particular jurisdiction over another. Indeed it might be said to favour an arbitral tribunal comprising members drawn from more than one Contracting State. </w:t>
      </w:r>
      <w:r w:rsidR="00CD2684">
        <w:rPr>
          <w:rFonts w:ascii="Arial" w:hAnsi="Arial"/>
          <w:sz w:val="28"/>
          <w:szCs w:val="28"/>
          <w:lang w:val="en-AU"/>
        </w:rPr>
        <w:t>B</w:t>
      </w:r>
      <w:r w:rsidR="00FC6EFC">
        <w:rPr>
          <w:rFonts w:ascii="Arial" w:hAnsi="Arial"/>
          <w:sz w:val="28"/>
          <w:szCs w:val="28"/>
          <w:lang w:val="en-AU"/>
        </w:rPr>
        <w:t>ecause of the privacy and confidentiality of arbitration, we do not know how commonly the CISG already features in arbitral awards.</w:t>
      </w:r>
    </w:p>
    <w:p w14:paraId="31564D27" w14:textId="005E4164" w:rsidR="002E2D49" w:rsidRPr="004D2568" w:rsidRDefault="00FC6EFC" w:rsidP="00D05B9A">
      <w:pPr>
        <w:spacing w:after="240" w:line="360" w:lineRule="auto"/>
        <w:rPr>
          <w:rFonts w:ascii="Arial" w:hAnsi="Arial"/>
          <w:sz w:val="28"/>
          <w:szCs w:val="28"/>
          <w:lang w:val="en-AU"/>
        </w:rPr>
      </w:pPr>
      <w:r>
        <w:rPr>
          <w:rFonts w:ascii="Arial" w:hAnsi="Arial"/>
          <w:sz w:val="28"/>
          <w:szCs w:val="28"/>
          <w:lang w:val="en-AU"/>
        </w:rPr>
        <w:t xml:space="preserve">Ms Dianne Tipping, the Chair of the Board of the </w:t>
      </w:r>
      <w:r w:rsidR="008863AF">
        <w:rPr>
          <w:rFonts w:ascii="Arial" w:hAnsi="Arial"/>
          <w:sz w:val="28"/>
          <w:szCs w:val="28"/>
          <w:lang w:val="en-AU"/>
        </w:rPr>
        <w:t>Export Council of Australia</w:t>
      </w:r>
      <w:r>
        <w:rPr>
          <w:rFonts w:ascii="Arial" w:hAnsi="Arial"/>
          <w:sz w:val="28"/>
          <w:szCs w:val="28"/>
          <w:lang w:val="en-AU"/>
        </w:rPr>
        <w:t>, informs me that her impression is that</w:t>
      </w:r>
      <w:r w:rsidR="008863AF">
        <w:rPr>
          <w:rFonts w:ascii="Arial" w:hAnsi="Arial"/>
          <w:sz w:val="28"/>
          <w:szCs w:val="28"/>
          <w:lang w:val="en-AU"/>
        </w:rPr>
        <w:t xml:space="preserve"> a significant number of </w:t>
      </w:r>
      <w:r>
        <w:rPr>
          <w:rFonts w:ascii="Arial" w:hAnsi="Arial"/>
          <w:sz w:val="28"/>
          <w:szCs w:val="28"/>
          <w:lang w:val="en-AU"/>
        </w:rPr>
        <w:t xml:space="preserve">small to medium sized Australian exporters do not </w:t>
      </w:r>
      <w:r w:rsidR="00CD2684">
        <w:rPr>
          <w:rFonts w:ascii="Arial" w:hAnsi="Arial"/>
          <w:sz w:val="28"/>
          <w:szCs w:val="28"/>
          <w:lang w:val="en-AU"/>
        </w:rPr>
        <w:t>give much thought to</w:t>
      </w:r>
      <w:r>
        <w:rPr>
          <w:rFonts w:ascii="Arial" w:hAnsi="Arial"/>
          <w:sz w:val="28"/>
          <w:szCs w:val="28"/>
          <w:lang w:val="en-AU"/>
        </w:rPr>
        <w:t xml:space="preserve"> the Convention, their practice </w:t>
      </w:r>
      <w:r w:rsidR="00CD2684">
        <w:rPr>
          <w:rFonts w:ascii="Arial" w:hAnsi="Arial"/>
          <w:sz w:val="28"/>
          <w:szCs w:val="28"/>
          <w:lang w:val="en-AU"/>
        </w:rPr>
        <w:t>being</w:t>
      </w:r>
      <w:r>
        <w:rPr>
          <w:rFonts w:ascii="Arial" w:hAnsi="Arial"/>
          <w:sz w:val="28"/>
          <w:szCs w:val="28"/>
          <w:lang w:val="en-AU"/>
        </w:rPr>
        <w:t xml:space="preserve"> to enter into brief (one- or two-page)</w:t>
      </w:r>
      <w:r w:rsidR="00BF1F9D">
        <w:rPr>
          <w:rFonts w:ascii="Arial" w:hAnsi="Arial"/>
          <w:sz w:val="28"/>
          <w:szCs w:val="28"/>
          <w:lang w:val="en-AU"/>
        </w:rPr>
        <w:t xml:space="preserve"> export</w:t>
      </w:r>
      <w:r>
        <w:rPr>
          <w:rFonts w:ascii="Arial" w:hAnsi="Arial"/>
          <w:sz w:val="28"/>
          <w:szCs w:val="28"/>
          <w:lang w:val="en-AU"/>
        </w:rPr>
        <w:t xml:space="preserve"> contracts, which neither exclude </w:t>
      </w:r>
      <w:r w:rsidR="00CD2684">
        <w:rPr>
          <w:rFonts w:ascii="Arial" w:hAnsi="Arial"/>
          <w:sz w:val="28"/>
          <w:szCs w:val="28"/>
          <w:lang w:val="en-AU"/>
        </w:rPr>
        <w:t>nor otherwise address</w:t>
      </w:r>
      <w:r>
        <w:rPr>
          <w:rFonts w:ascii="Arial" w:hAnsi="Arial"/>
          <w:sz w:val="28"/>
          <w:szCs w:val="28"/>
          <w:lang w:val="en-AU"/>
        </w:rPr>
        <w:t xml:space="preserve"> the CISG. </w:t>
      </w:r>
      <w:r w:rsidR="0071779A">
        <w:rPr>
          <w:rFonts w:ascii="Arial" w:hAnsi="Arial"/>
          <w:sz w:val="28"/>
          <w:szCs w:val="28"/>
          <w:lang w:val="en-AU"/>
        </w:rPr>
        <w:t>Of course, s</w:t>
      </w:r>
      <w:r w:rsidR="00FC0A46">
        <w:rPr>
          <w:rFonts w:ascii="Arial" w:hAnsi="Arial"/>
          <w:sz w:val="28"/>
          <w:szCs w:val="28"/>
          <w:lang w:val="en-AU"/>
        </w:rPr>
        <w:t>ilence of their contract on the matter would</w:t>
      </w:r>
      <w:r>
        <w:rPr>
          <w:rFonts w:ascii="Arial" w:hAnsi="Arial"/>
          <w:sz w:val="28"/>
          <w:szCs w:val="28"/>
          <w:lang w:val="en-AU"/>
        </w:rPr>
        <w:t xml:space="preserve"> not prevent it from applying to an export </w:t>
      </w:r>
      <w:r w:rsidR="00BF1F9D">
        <w:rPr>
          <w:rFonts w:ascii="Arial" w:hAnsi="Arial"/>
          <w:sz w:val="28"/>
          <w:szCs w:val="28"/>
          <w:lang w:val="en-AU"/>
        </w:rPr>
        <w:t xml:space="preserve">from Australia </w:t>
      </w:r>
      <w:r>
        <w:rPr>
          <w:rFonts w:ascii="Arial" w:hAnsi="Arial"/>
          <w:sz w:val="28"/>
          <w:szCs w:val="28"/>
          <w:lang w:val="en-AU"/>
        </w:rPr>
        <w:t>to an importer located in an</w:t>
      </w:r>
      <w:r w:rsidR="00FC0A46">
        <w:rPr>
          <w:rFonts w:ascii="Arial" w:hAnsi="Arial"/>
          <w:sz w:val="28"/>
          <w:szCs w:val="28"/>
          <w:lang w:val="en-AU"/>
        </w:rPr>
        <w:t>other</w:t>
      </w:r>
      <w:r>
        <w:rPr>
          <w:rFonts w:ascii="Arial" w:hAnsi="Arial"/>
          <w:sz w:val="28"/>
          <w:szCs w:val="28"/>
          <w:lang w:val="en-AU"/>
        </w:rPr>
        <w:t xml:space="preserve"> Contracting State.</w:t>
      </w:r>
      <w:r w:rsidR="00FC0A46">
        <w:rPr>
          <w:rFonts w:ascii="Arial" w:hAnsi="Arial"/>
          <w:sz w:val="28"/>
          <w:szCs w:val="28"/>
          <w:lang w:val="en-AU"/>
        </w:rPr>
        <w:t xml:space="preserve"> I do not know the extent to which more substantial contracts for the international sale of goods, such as</w:t>
      </w:r>
      <w:r w:rsidR="00BB2BED">
        <w:rPr>
          <w:rFonts w:ascii="Arial" w:hAnsi="Arial"/>
          <w:sz w:val="28"/>
          <w:szCs w:val="28"/>
          <w:lang w:val="en-AU"/>
        </w:rPr>
        <w:t xml:space="preserve"> contracts for the sale of </w:t>
      </w:r>
      <w:r w:rsidR="00FC0A46">
        <w:rPr>
          <w:rFonts w:ascii="Arial" w:hAnsi="Arial"/>
          <w:sz w:val="28"/>
          <w:szCs w:val="28"/>
          <w:lang w:val="en-AU"/>
        </w:rPr>
        <w:t>commodities, commonly exclude or otherwise address the Convention.</w:t>
      </w:r>
    </w:p>
    <w:p w14:paraId="30F74085" w14:textId="3AFF526D" w:rsidR="002E2D49" w:rsidRPr="004D2568" w:rsidRDefault="002E2D49" w:rsidP="00D05B9A">
      <w:pPr>
        <w:spacing w:after="240" w:line="360" w:lineRule="auto"/>
        <w:rPr>
          <w:rFonts w:ascii="Arial" w:hAnsi="Arial"/>
          <w:sz w:val="28"/>
          <w:szCs w:val="28"/>
          <w:lang w:val="en-AU"/>
        </w:rPr>
      </w:pPr>
      <w:r w:rsidRPr="004D2568">
        <w:rPr>
          <w:rFonts w:ascii="Arial" w:hAnsi="Arial"/>
          <w:b/>
          <w:sz w:val="28"/>
          <w:szCs w:val="28"/>
          <w:lang w:val="en-AU"/>
        </w:rPr>
        <w:t>Conclusion</w:t>
      </w:r>
    </w:p>
    <w:p w14:paraId="187300E4" w14:textId="30B1DBD3" w:rsidR="002E2D49" w:rsidRPr="004D2568" w:rsidRDefault="002E2D49" w:rsidP="003C1EA5">
      <w:pPr>
        <w:spacing w:line="360" w:lineRule="auto"/>
        <w:rPr>
          <w:rFonts w:ascii="Arial" w:hAnsi="Arial"/>
          <w:sz w:val="28"/>
          <w:szCs w:val="28"/>
          <w:lang w:val="en-AU"/>
        </w:rPr>
      </w:pPr>
      <w:r w:rsidRPr="004D2568">
        <w:rPr>
          <w:rFonts w:ascii="Arial" w:hAnsi="Arial"/>
          <w:sz w:val="28"/>
          <w:szCs w:val="28"/>
          <w:lang w:val="en-AU"/>
        </w:rPr>
        <w:t xml:space="preserve">I look forward to learning from our speakers the extent to which the CISG applies to international contracts for the sale of goods to which a party is </w:t>
      </w:r>
      <w:r w:rsidRPr="004D2568">
        <w:rPr>
          <w:rFonts w:ascii="Arial" w:hAnsi="Arial"/>
          <w:sz w:val="28"/>
          <w:szCs w:val="28"/>
          <w:lang w:val="en-AU"/>
        </w:rPr>
        <w:lastRenderedPageBreak/>
        <w:t xml:space="preserve">Australian; the extent to which </w:t>
      </w:r>
      <w:r w:rsidR="00FC0A46">
        <w:rPr>
          <w:rFonts w:ascii="Arial" w:hAnsi="Arial"/>
          <w:sz w:val="28"/>
          <w:szCs w:val="28"/>
          <w:lang w:val="en-AU"/>
        </w:rPr>
        <w:t xml:space="preserve">it is common practice for </w:t>
      </w:r>
      <w:r w:rsidRPr="004D2568">
        <w:rPr>
          <w:rFonts w:ascii="Arial" w:hAnsi="Arial"/>
          <w:sz w:val="28"/>
          <w:szCs w:val="28"/>
          <w:lang w:val="en-AU"/>
        </w:rPr>
        <w:t xml:space="preserve">such contracts </w:t>
      </w:r>
      <w:r w:rsidR="00FC0A46">
        <w:rPr>
          <w:rFonts w:ascii="Arial" w:hAnsi="Arial"/>
          <w:sz w:val="28"/>
          <w:szCs w:val="28"/>
          <w:lang w:val="en-AU"/>
        </w:rPr>
        <w:t xml:space="preserve">to </w:t>
      </w:r>
      <w:r w:rsidRPr="004D2568">
        <w:rPr>
          <w:rFonts w:ascii="Arial" w:hAnsi="Arial"/>
          <w:sz w:val="28"/>
          <w:szCs w:val="28"/>
          <w:lang w:val="en-AU"/>
        </w:rPr>
        <w:t>exclude</w:t>
      </w:r>
      <w:r w:rsidR="00FC0A46">
        <w:rPr>
          <w:rFonts w:ascii="Arial" w:hAnsi="Arial"/>
          <w:sz w:val="28"/>
          <w:szCs w:val="28"/>
          <w:lang w:val="en-AU"/>
        </w:rPr>
        <w:t xml:space="preserve"> or modify </w:t>
      </w:r>
      <w:r w:rsidRPr="004D2568">
        <w:rPr>
          <w:rFonts w:ascii="Arial" w:hAnsi="Arial"/>
          <w:sz w:val="28"/>
          <w:szCs w:val="28"/>
          <w:lang w:val="en-AU"/>
        </w:rPr>
        <w:t>the application of the Convention; and why it is that there have been so few reported Australian decisions on the Convention.</w:t>
      </w:r>
    </w:p>
    <w:p w14:paraId="2DA1107F" w14:textId="77777777" w:rsidR="003C596A" w:rsidRPr="004D2568" w:rsidRDefault="003C596A" w:rsidP="003C1EA5">
      <w:pPr>
        <w:spacing w:line="360" w:lineRule="auto"/>
        <w:rPr>
          <w:rFonts w:ascii="Arial" w:hAnsi="Arial"/>
          <w:sz w:val="28"/>
          <w:szCs w:val="28"/>
          <w:lang w:val="en-AU"/>
        </w:rPr>
      </w:pPr>
    </w:p>
    <w:p w14:paraId="1702B20E" w14:textId="77777777" w:rsidR="003C596A" w:rsidRPr="004D2568" w:rsidRDefault="003C596A" w:rsidP="003C1EA5">
      <w:pPr>
        <w:spacing w:line="360" w:lineRule="auto"/>
        <w:rPr>
          <w:rFonts w:ascii="Arial" w:hAnsi="Arial"/>
          <w:sz w:val="28"/>
          <w:szCs w:val="28"/>
          <w:lang w:val="en-AU"/>
        </w:rPr>
      </w:pPr>
    </w:p>
    <w:p w14:paraId="0C7F3F7A" w14:textId="08B2E026" w:rsidR="00397452" w:rsidRPr="004F01C1" w:rsidRDefault="004F01C1" w:rsidP="004F01C1">
      <w:pPr>
        <w:tabs>
          <w:tab w:val="left" w:pos="8608"/>
        </w:tabs>
        <w:rPr>
          <w:rFonts w:ascii="Arial" w:hAnsi="Arial"/>
          <w:sz w:val="22"/>
          <w:szCs w:val="22"/>
          <w:lang w:val="en-AU"/>
        </w:rPr>
      </w:pPr>
      <w:r>
        <w:rPr>
          <w:rFonts w:ascii="Arial" w:hAnsi="Arial"/>
          <w:sz w:val="22"/>
          <w:szCs w:val="22"/>
          <w:lang w:val="en-AU"/>
        </w:rPr>
        <w:tab/>
      </w:r>
    </w:p>
    <w:sectPr w:rsidR="00397452" w:rsidRPr="004F01C1" w:rsidSect="00901E37">
      <w:footerReference w:type="even" r:id="rId8"/>
      <w:footerReference w:type="default" r:id="rId9"/>
      <w:pgSz w:w="11900" w:h="16840"/>
      <w:pgMar w:top="1134" w:right="1134"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0598" w14:textId="77777777" w:rsidR="005124AE" w:rsidRDefault="005124AE" w:rsidP="007E4672">
      <w:r>
        <w:separator/>
      </w:r>
    </w:p>
  </w:endnote>
  <w:endnote w:type="continuationSeparator" w:id="0">
    <w:p w14:paraId="52D3C4B1" w14:textId="77777777" w:rsidR="005124AE" w:rsidRDefault="005124AE" w:rsidP="007E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453C" w14:textId="77777777" w:rsidR="00B629F1" w:rsidRDefault="00B629F1" w:rsidP="002709F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6D51D1" w14:textId="77777777" w:rsidR="00B629F1" w:rsidRDefault="00B62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DBE7" w14:textId="5953C324" w:rsidR="00B629F1" w:rsidRPr="00F00232" w:rsidRDefault="00B629F1" w:rsidP="0026733B">
    <w:pPr>
      <w:pStyle w:val="Footer"/>
      <w:framePr w:wrap="none" w:vAnchor="text" w:hAnchor="page" w:x="6022" w:y="-9"/>
      <w:rPr>
        <w:rStyle w:val="PageNumber"/>
        <w:rFonts w:ascii="Arial" w:hAnsi="Arial" w:cs="Arial"/>
        <w:b/>
        <w:sz w:val="20"/>
        <w:szCs w:val="20"/>
      </w:rPr>
    </w:pPr>
    <w:r w:rsidRPr="00F00232">
      <w:rPr>
        <w:rStyle w:val="PageNumber"/>
        <w:rFonts w:ascii="Arial" w:hAnsi="Arial" w:cs="Arial"/>
        <w:b/>
        <w:sz w:val="20"/>
        <w:szCs w:val="20"/>
      </w:rPr>
      <w:fldChar w:fldCharType="begin"/>
    </w:r>
    <w:r w:rsidRPr="00F00232">
      <w:rPr>
        <w:rStyle w:val="PageNumber"/>
        <w:rFonts w:ascii="Arial" w:hAnsi="Arial" w:cs="Arial"/>
        <w:b/>
        <w:sz w:val="20"/>
        <w:szCs w:val="20"/>
      </w:rPr>
      <w:instrText xml:space="preserve">PAGE  </w:instrText>
    </w:r>
    <w:r w:rsidRPr="00F00232">
      <w:rPr>
        <w:rStyle w:val="PageNumber"/>
        <w:rFonts w:ascii="Arial" w:hAnsi="Arial" w:cs="Arial"/>
        <w:b/>
        <w:sz w:val="20"/>
        <w:szCs w:val="20"/>
      </w:rPr>
      <w:fldChar w:fldCharType="separate"/>
    </w:r>
    <w:r w:rsidR="00AF282D">
      <w:rPr>
        <w:rStyle w:val="PageNumber"/>
        <w:rFonts w:ascii="Arial" w:hAnsi="Arial" w:cs="Arial"/>
        <w:b/>
        <w:noProof/>
        <w:sz w:val="20"/>
        <w:szCs w:val="20"/>
      </w:rPr>
      <w:t>1</w:t>
    </w:r>
    <w:r w:rsidRPr="00F00232">
      <w:rPr>
        <w:rStyle w:val="PageNumber"/>
        <w:rFonts w:ascii="Arial" w:hAnsi="Arial" w:cs="Arial"/>
        <w:b/>
        <w:sz w:val="20"/>
        <w:szCs w:val="20"/>
      </w:rPr>
      <w:fldChar w:fldCharType="end"/>
    </w:r>
  </w:p>
  <w:p w14:paraId="4204737F" w14:textId="77777777" w:rsidR="00B629F1" w:rsidRPr="007E4672" w:rsidRDefault="00B629F1">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513EC" w14:textId="77777777" w:rsidR="005124AE" w:rsidRDefault="005124AE" w:rsidP="007E4672">
      <w:r>
        <w:separator/>
      </w:r>
    </w:p>
  </w:footnote>
  <w:footnote w:type="continuationSeparator" w:id="0">
    <w:p w14:paraId="7BF4F2FB" w14:textId="77777777" w:rsidR="005124AE" w:rsidRDefault="005124AE" w:rsidP="007E4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7BA6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059F7"/>
    <w:multiLevelType w:val="hybridMultilevel"/>
    <w:tmpl w:val="1F1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03269"/>
    <w:multiLevelType w:val="hybridMultilevel"/>
    <w:tmpl w:val="324E4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F26FB3"/>
    <w:multiLevelType w:val="hybridMultilevel"/>
    <w:tmpl w:val="CF463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FF03C0"/>
    <w:multiLevelType w:val="hybridMultilevel"/>
    <w:tmpl w:val="F85A449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0AF752BD"/>
    <w:multiLevelType w:val="hybridMultilevel"/>
    <w:tmpl w:val="E6722520"/>
    <w:lvl w:ilvl="0" w:tplc="3F7E57F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52005C"/>
    <w:multiLevelType w:val="hybridMultilevel"/>
    <w:tmpl w:val="9A8A4E8A"/>
    <w:lvl w:ilvl="0" w:tplc="59824554">
      <w:start w:val="1"/>
      <w:numFmt w:val="decimal"/>
      <w:lvlText w:val="%1."/>
      <w:lvlJc w:val="left"/>
      <w:pPr>
        <w:ind w:left="720" w:hanging="720"/>
      </w:pPr>
      <w:rPr>
        <w:rFonts w:hint="default"/>
      </w:rPr>
    </w:lvl>
    <w:lvl w:ilvl="1" w:tplc="5FAC9C80">
      <w:start w:val="2"/>
      <w:numFmt w:val="lowerLetter"/>
      <w:lvlText w:val="%2."/>
      <w:lvlJc w:val="left"/>
      <w:pPr>
        <w:ind w:left="1440" w:hanging="360"/>
      </w:pPr>
      <w:rPr>
        <w:rFonts w:hint="default"/>
      </w:rPr>
    </w:lvl>
    <w:lvl w:ilvl="2" w:tplc="5A6EA068">
      <w:numFmt w:val="bullet"/>
      <w:lvlText w:val="•"/>
      <w:lvlJc w:val="left"/>
      <w:pPr>
        <w:ind w:left="2340" w:hanging="360"/>
      </w:pPr>
      <w:rPr>
        <w:rFonts w:ascii="Arial" w:eastAsiaTheme="minorHAnsi" w:hAnsi="Arial" w:cs="Arial"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87663"/>
    <w:multiLevelType w:val="hybridMultilevel"/>
    <w:tmpl w:val="2FE831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34095D"/>
    <w:multiLevelType w:val="hybridMultilevel"/>
    <w:tmpl w:val="23BE85EC"/>
    <w:lvl w:ilvl="0" w:tplc="EA6A876E">
      <w:start w:val="7"/>
      <w:numFmt w:val="bullet"/>
      <w:lvlText w:val="-"/>
      <w:lvlJc w:val="left"/>
      <w:pPr>
        <w:ind w:left="2073" w:hanging="360"/>
      </w:pPr>
      <w:rPr>
        <w:rFonts w:ascii="Arial" w:eastAsiaTheme="minorHAnsi" w:hAnsi="Arial" w:cs="Aria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9" w15:restartNumberingAfterBreak="0">
    <w:nsid w:val="12533E7E"/>
    <w:multiLevelType w:val="hybridMultilevel"/>
    <w:tmpl w:val="345404E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3AD70DDC"/>
    <w:multiLevelType w:val="hybridMultilevel"/>
    <w:tmpl w:val="D34A5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072E8A"/>
    <w:multiLevelType w:val="hybridMultilevel"/>
    <w:tmpl w:val="27B8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F6DFC"/>
    <w:multiLevelType w:val="hybridMultilevel"/>
    <w:tmpl w:val="5AD8A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AE582C"/>
    <w:multiLevelType w:val="hybridMultilevel"/>
    <w:tmpl w:val="A120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8637B"/>
    <w:multiLevelType w:val="hybridMultilevel"/>
    <w:tmpl w:val="5D9CA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C82BA4"/>
    <w:multiLevelType w:val="hybridMultilevel"/>
    <w:tmpl w:val="CC00C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A1510AA"/>
    <w:multiLevelType w:val="hybridMultilevel"/>
    <w:tmpl w:val="BCEE6E58"/>
    <w:lvl w:ilvl="0" w:tplc="2EB070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521FE"/>
    <w:multiLevelType w:val="hybridMultilevel"/>
    <w:tmpl w:val="AD425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CF12FA"/>
    <w:multiLevelType w:val="hybridMultilevel"/>
    <w:tmpl w:val="47F85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D056A1"/>
    <w:multiLevelType w:val="hybridMultilevel"/>
    <w:tmpl w:val="28A4A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E4520F"/>
    <w:multiLevelType w:val="hybridMultilevel"/>
    <w:tmpl w:val="B714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71325"/>
    <w:multiLevelType w:val="multilevel"/>
    <w:tmpl w:val="5C6AAF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42D4333"/>
    <w:multiLevelType w:val="hybridMultilevel"/>
    <w:tmpl w:val="81E8F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D5B57FB"/>
    <w:multiLevelType w:val="hybridMultilevel"/>
    <w:tmpl w:val="D4183BBC"/>
    <w:lvl w:ilvl="0" w:tplc="427CEB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4335F6"/>
    <w:multiLevelType w:val="hybridMultilevel"/>
    <w:tmpl w:val="AE405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9"/>
  </w:num>
  <w:num w:numId="4">
    <w:abstractNumId w:val="14"/>
  </w:num>
  <w:num w:numId="5">
    <w:abstractNumId w:val="4"/>
  </w:num>
  <w:num w:numId="6">
    <w:abstractNumId w:val="8"/>
  </w:num>
  <w:num w:numId="7">
    <w:abstractNumId w:val="7"/>
  </w:num>
  <w:num w:numId="8">
    <w:abstractNumId w:val="24"/>
  </w:num>
  <w:num w:numId="9">
    <w:abstractNumId w:val="0"/>
  </w:num>
  <w:num w:numId="10">
    <w:abstractNumId w:val="18"/>
  </w:num>
  <w:num w:numId="11">
    <w:abstractNumId w:val="10"/>
  </w:num>
  <w:num w:numId="12">
    <w:abstractNumId w:val="11"/>
  </w:num>
  <w:num w:numId="13">
    <w:abstractNumId w:val="13"/>
  </w:num>
  <w:num w:numId="14">
    <w:abstractNumId w:val="20"/>
  </w:num>
  <w:num w:numId="15">
    <w:abstractNumId w:val="9"/>
  </w:num>
  <w:num w:numId="16">
    <w:abstractNumId w:val="2"/>
  </w:num>
  <w:num w:numId="17">
    <w:abstractNumId w:val="21"/>
  </w:num>
  <w:num w:numId="18">
    <w:abstractNumId w:val="22"/>
  </w:num>
  <w:num w:numId="19">
    <w:abstractNumId w:val="15"/>
  </w:num>
  <w:num w:numId="20">
    <w:abstractNumId w:val="1"/>
  </w:num>
  <w:num w:numId="21">
    <w:abstractNumId w:val="23"/>
  </w:num>
  <w:num w:numId="22">
    <w:abstractNumId w:val="3"/>
  </w:num>
  <w:num w:numId="23">
    <w:abstractNumId w:val="12"/>
  </w:num>
  <w:num w:numId="24">
    <w:abstractNumId w:val="1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trackRevision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02F0F7-1A37-438B-86D5-4F54FEAB2CAB}"/>
    <w:docVar w:name="dgnword-eventsink" w:val="2231840079136"/>
    <w:docVar w:name="dgnword-lastRevisionsView" w:val="0"/>
    <w:docVar w:name="MacDisableGlyphATSUI" w:val="0"/>
  </w:docVars>
  <w:rsids>
    <w:rsidRoot w:val="00385D04"/>
    <w:rsid w:val="00001F8B"/>
    <w:rsid w:val="00002160"/>
    <w:rsid w:val="00003359"/>
    <w:rsid w:val="00005AFB"/>
    <w:rsid w:val="00005B79"/>
    <w:rsid w:val="00006F52"/>
    <w:rsid w:val="00010179"/>
    <w:rsid w:val="00012D67"/>
    <w:rsid w:val="0001300F"/>
    <w:rsid w:val="000168DE"/>
    <w:rsid w:val="00016A25"/>
    <w:rsid w:val="0001760E"/>
    <w:rsid w:val="00020375"/>
    <w:rsid w:val="00021F82"/>
    <w:rsid w:val="0002260E"/>
    <w:rsid w:val="00023770"/>
    <w:rsid w:val="00025364"/>
    <w:rsid w:val="00025C53"/>
    <w:rsid w:val="000271F4"/>
    <w:rsid w:val="00032510"/>
    <w:rsid w:val="000346EF"/>
    <w:rsid w:val="000347D2"/>
    <w:rsid w:val="00037A30"/>
    <w:rsid w:val="00037A51"/>
    <w:rsid w:val="00042E6F"/>
    <w:rsid w:val="00043169"/>
    <w:rsid w:val="0004369E"/>
    <w:rsid w:val="000455F9"/>
    <w:rsid w:val="00046F0E"/>
    <w:rsid w:val="00047F7E"/>
    <w:rsid w:val="00052920"/>
    <w:rsid w:val="00052AF3"/>
    <w:rsid w:val="00054107"/>
    <w:rsid w:val="00054334"/>
    <w:rsid w:val="000549E7"/>
    <w:rsid w:val="00054D5D"/>
    <w:rsid w:val="0005575C"/>
    <w:rsid w:val="00056432"/>
    <w:rsid w:val="000565F8"/>
    <w:rsid w:val="000601D1"/>
    <w:rsid w:val="0006079D"/>
    <w:rsid w:val="000627FB"/>
    <w:rsid w:val="00062DFF"/>
    <w:rsid w:val="0006329D"/>
    <w:rsid w:val="000638EE"/>
    <w:rsid w:val="000658F0"/>
    <w:rsid w:val="00067264"/>
    <w:rsid w:val="00067BB1"/>
    <w:rsid w:val="00071652"/>
    <w:rsid w:val="0007209E"/>
    <w:rsid w:val="00073ADC"/>
    <w:rsid w:val="00073FF2"/>
    <w:rsid w:val="00074B45"/>
    <w:rsid w:val="000833B4"/>
    <w:rsid w:val="000838E4"/>
    <w:rsid w:val="00084E53"/>
    <w:rsid w:val="00086EB0"/>
    <w:rsid w:val="0009206B"/>
    <w:rsid w:val="000932B3"/>
    <w:rsid w:val="00093516"/>
    <w:rsid w:val="000940C0"/>
    <w:rsid w:val="00094146"/>
    <w:rsid w:val="000968A7"/>
    <w:rsid w:val="00097A2B"/>
    <w:rsid w:val="00097D63"/>
    <w:rsid w:val="00097F09"/>
    <w:rsid w:val="000A15C7"/>
    <w:rsid w:val="000A1EAA"/>
    <w:rsid w:val="000A22F8"/>
    <w:rsid w:val="000A35F0"/>
    <w:rsid w:val="000A3760"/>
    <w:rsid w:val="000A3D6A"/>
    <w:rsid w:val="000A49D9"/>
    <w:rsid w:val="000A5694"/>
    <w:rsid w:val="000B245F"/>
    <w:rsid w:val="000B2A61"/>
    <w:rsid w:val="000B4334"/>
    <w:rsid w:val="000B633E"/>
    <w:rsid w:val="000B65E0"/>
    <w:rsid w:val="000B7C18"/>
    <w:rsid w:val="000C04A6"/>
    <w:rsid w:val="000C433F"/>
    <w:rsid w:val="000C4382"/>
    <w:rsid w:val="000C56D9"/>
    <w:rsid w:val="000C7AC8"/>
    <w:rsid w:val="000D0ADA"/>
    <w:rsid w:val="000D585A"/>
    <w:rsid w:val="000D721F"/>
    <w:rsid w:val="000D795D"/>
    <w:rsid w:val="000E01B1"/>
    <w:rsid w:val="000E184A"/>
    <w:rsid w:val="000E1F1F"/>
    <w:rsid w:val="000E2A14"/>
    <w:rsid w:val="000E55F0"/>
    <w:rsid w:val="000E6620"/>
    <w:rsid w:val="000F0E36"/>
    <w:rsid w:val="000F1D94"/>
    <w:rsid w:val="000F420F"/>
    <w:rsid w:val="000F477E"/>
    <w:rsid w:val="000F5241"/>
    <w:rsid w:val="000F5FBE"/>
    <w:rsid w:val="000F7377"/>
    <w:rsid w:val="00101B55"/>
    <w:rsid w:val="001025F3"/>
    <w:rsid w:val="001104D7"/>
    <w:rsid w:val="00110E6A"/>
    <w:rsid w:val="0011403D"/>
    <w:rsid w:val="001170D1"/>
    <w:rsid w:val="0012113D"/>
    <w:rsid w:val="00121607"/>
    <w:rsid w:val="0012264C"/>
    <w:rsid w:val="0012729B"/>
    <w:rsid w:val="00130ACD"/>
    <w:rsid w:val="001315AF"/>
    <w:rsid w:val="001346F1"/>
    <w:rsid w:val="00135B06"/>
    <w:rsid w:val="00136F15"/>
    <w:rsid w:val="00141C99"/>
    <w:rsid w:val="0014231E"/>
    <w:rsid w:val="0014572C"/>
    <w:rsid w:val="00145FD4"/>
    <w:rsid w:val="0015099C"/>
    <w:rsid w:val="001512DC"/>
    <w:rsid w:val="001525E7"/>
    <w:rsid w:val="00153572"/>
    <w:rsid w:val="00153B4D"/>
    <w:rsid w:val="001551D1"/>
    <w:rsid w:val="001565B2"/>
    <w:rsid w:val="00156B9F"/>
    <w:rsid w:val="00160672"/>
    <w:rsid w:val="00160961"/>
    <w:rsid w:val="00160A8A"/>
    <w:rsid w:val="00163021"/>
    <w:rsid w:val="00164A8F"/>
    <w:rsid w:val="00165417"/>
    <w:rsid w:val="00165E8E"/>
    <w:rsid w:val="00166077"/>
    <w:rsid w:val="00172629"/>
    <w:rsid w:val="001740B4"/>
    <w:rsid w:val="00175BB6"/>
    <w:rsid w:val="00176A08"/>
    <w:rsid w:val="0018050F"/>
    <w:rsid w:val="001814F7"/>
    <w:rsid w:val="00182427"/>
    <w:rsid w:val="00182910"/>
    <w:rsid w:val="00183C51"/>
    <w:rsid w:val="00185A40"/>
    <w:rsid w:val="001861A6"/>
    <w:rsid w:val="00186532"/>
    <w:rsid w:val="00191767"/>
    <w:rsid w:val="0019568F"/>
    <w:rsid w:val="001961EA"/>
    <w:rsid w:val="001A121E"/>
    <w:rsid w:val="001A151C"/>
    <w:rsid w:val="001A154A"/>
    <w:rsid w:val="001A20A4"/>
    <w:rsid w:val="001A23BC"/>
    <w:rsid w:val="001A4066"/>
    <w:rsid w:val="001A63E5"/>
    <w:rsid w:val="001B04FB"/>
    <w:rsid w:val="001B3823"/>
    <w:rsid w:val="001B63F3"/>
    <w:rsid w:val="001B686A"/>
    <w:rsid w:val="001B7AC5"/>
    <w:rsid w:val="001C0A98"/>
    <w:rsid w:val="001C22D9"/>
    <w:rsid w:val="001C32FE"/>
    <w:rsid w:val="001C3585"/>
    <w:rsid w:val="001C46F5"/>
    <w:rsid w:val="001C6F70"/>
    <w:rsid w:val="001C7A14"/>
    <w:rsid w:val="001D07A5"/>
    <w:rsid w:val="001D30C2"/>
    <w:rsid w:val="001D420E"/>
    <w:rsid w:val="001D4CDE"/>
    <w:rsid w:val="001D5601"/>
    <w:rsid w:val="001D71BE"/>
    <w:rsid w:val="001E0994"/>
    <w:rsid w:val="001E0A79"/>
    <w:rsid w:val="001E15E6"/>
    <w:rsid w:val="001E1C04"/>
    <w:rsid w:val="001E346E"/>
    <w:rsid w:val="001E3769"/>
    <w:rsid w:val="001E41E0"/>
    <w:rsid w:val="001E525A"/>
    <w:rsid w:val="001E55AB"/>
    <w:rsid w:val="001F2142"/>
    <w:rsid w:val="001F3C69"/>
    <w:rsid w:val="001F3FDA"/>
    <w:rsid w:val="001F6CAC"/>
    <w:rsid w:val="001F7972"/>
    <w:rsid w:val="00205709"/>
    <w:rsid w:val="002111FD"/>
    <w:rsid w:val="00211A04"/>
    <w:rsid w:val="0021201F"/>
    <w:rsid w:val="00212EBA"/>
    <w:rsid w:val="00212F19"/>
    <w:rsid w:val="0021349F"/>
    <w:rsid w:val="00213CFD"/>
    <w:rsid w:val="00215443"/>
    <w:rsid w:val="002179EE"/>
    <w:rsid w:val="00220AE1"/>
    <w:rsid w:val="00220F10"/>
    <w:rsid w:val="00221AC3"/>
    <w:rsid w:val="00223B9E"/>
    <w:rsid w:val="00224473"/>
    <w:rsid w:val="002248EA"/>
    <w:rsid w:val="00225085"/>
    <w:rsid w:val="002253EF"/>
    <w:rsid w:val="00225942"/>
    <w:rsid w:val="00225DC7"/>
    <w:rsid w:val="00226E68"/>
    <w:rsid w:val="002271FF"/>
    <w:rsid w:val="002307F2"/>
    <w:rsid w:val="00231F91"/>
    <w:rsid w:val="00235329"/>
    <w:rsid w:val="002366FE"/>
    <w:rsid w:val="00241C05"/>
    <w:rsid w:val="00243224"/>
    <w:rsid w:val="00244096"/>
    <w:rsid w:val="002454BA"/>
    <w:rsid w:val="0024790B"/>
    <w:rsid w:val="00247A97"/>
    <w:rsid w:val="00250542"/>
    <w:rsid w:val="00251E02"/>
    <w:rsid w:val="0025234E"/>
    <w:rsid w:val="00252568"/>
    <w:rsid w:val="00253ECE"/>
    <w:rsid w:val="00256023"/>
    <w:rsid w:val="0026256B"/>
    <w:rsid w:val="00262E74"/>
    <w:rsid w:val="00263798"/>
    <w:rsid w:val="00266055"/>
    <w:rsid w:val="0026733B"/>
    <w:rsid w:val="002709F6"/>
    <w:rsid w:val="002713CD"/>
    <w:rsid w:val="00272B84"/>
    <w:rsid w:val="00272C61"/>
    <w:rsid w:val="00273F63"/>
    <w:rsid w:val="0027763D"/>
    <w:rsid w:val="002808D2"/>
    <w:rsid w:val="00281302"/>
    <w:rsid w:val="002862EF"/>
    <w:rsid w:val="0028715A"/>
    <w:rsid w:val="002900E2"/>
    <w:rsid w:val="00290B83"/>
    <w:rsid w:val="00290C14"/>
    <w:rsid w:val="00291F8D"/>
    <w:rsid w:val="0029498E"/>
    <w:rsid w:val="00295E12"/>
    <w:rsid w:val="002A1842"/>
    <w:rsid w:val="002A1BF6"/>
    <w:rsid w:val="002A32DB"/>
    <w:rsid w:val="002A396C"/>
    <w:rsid w:val="002B1DF3"/>
    <w:rsid w:val="002B2173"/>
    <w:rsid w:val="002B3079"/>
    <w:rsid w:val="002B32CA"/>
    <w:rsid w:val="002B3535"/>
    <w:rsid w:val="002B78F7"/>
    <w:rsid w:val="002C0DE2"/>
    <w:rsid w:val="002C562C"/>
    <w:rsid w:val="002D0E09"/>
    <w:rsid w:val="002D15AC"/>
    <w:rsid w:val="002D2E94"/>
    <w:rsid w:val="002D4031"/>
    <w:rsid w:val="002D4D46"/>
    <w:rsid w:val="002D6182"/>
    <w:rsid w:val="002D640A"/>
    <w:rsid w:val="002D69D1"/>
    <w:rsid w:val="002D6F49"/>
    <w:rsid w:val="002E0321"/>
    <w:rsid w:val="002E2D49"/>
    <w:rsid w:val="002E5348"/>
    <w:rsid w:val="002E5796"/>
    <w:rsid w:val="002E5D55"/>
    <w:rsid w:val="002E7832"/>
    <w:rsid w:val="002F0301"/>
    <w:rsid w:val="002F2331"/>
    <w:rsid w:val="002F2D49"/>
    <w:rsid w:val="002F411C"/>
    <w:rsid w:val="002F6389"/>
    <w:rsid w:val="002F76D3"/>
    <w:rsid w:val="00300B6E"/>
    <w:rsid w:val="003016AB"/>
    <w:rsid w:val="00304271"/>
    <w:rsid w:val="0030512D"/>
    <w:rsid w:val="00306937"/>
    <w:rsid w:val="00307300"/>
    <w:rsid w:val="00307E8B"/>
    <w:rsid w:val="00310A93"/>
    <w:rsid w:val="0031465B"/>
    <w:rsid w:val="00315F93"/>
    <w:rsid w:val="003166CB"/>
    <w:rsid w:val="0031714E"/>
    <w:rsid w:val="0031733A"/>
    <w:rsid w:val="00320418"/>
    <w:rsid w:val="00321D93"/>
    <w:rsid w:val="003229B4"/>
    <w:rsid w:val="00323876"/>
    <w:rsid w:val="003240A0"/>
    <w:rsid w:val="003248F3"/>
    <w:rsid w:val="00325E2A"/>
    <w:rsid w:val="00326CA2"/>
    <w:rsid w:val="00326E0D"/>
    <w:rsid w:val="003309CF"/>
    <w:rsid w:val="00334495"/>
    <w:rsid w:val="00341F29"/>
    <w:rsid w:val="00343304"/>
    <w:rsid w:val="00343AF1"/>
    <w:rsid w:val="00345E26"/>
    <w:rsid w:val="00346B0F"/>
    <w:rsid w:val="003472A9"/>
    <w:rsid w:val="00350037"/>
    <w:rsid w:val="00354A0A"/>
    <w:rsid w:val="00354A23"/>
    <w:rsid w:val="00354E83"/>
    <w:rsid w:val="003602D1"/>
    <w:rsid w:val="003602D9"/>
    <w:rsid w:val="00364200"/>
    <w:rsid w:val="00364EBB"/>
    <w:rsid w:val="003655CD"/>
    <w:rsid w:val="00366745"/>
    <w:rsid w:val="003673F3"/>
    <w:rsid w:val="00374EF2"/>
    <w:rsid w:val="00375FAE"/>
    <w:rsid w:val="00376326"/>
    <w:rsid w:val="00376591"/>
    <w:rsid w:val="00377C2E"/>
    <w:rsid w:val="00377E46"/>
    <w:rsid w:val="003853F2"/>
    <w:rsid w:val="00385D04"/>
    <w:rsid w:val="00385F46"/>
    <w:rsid w:val="00386A63"/>
    <w:rsid w:val="0038718B"/>
    <w:rsid w:val="00387C65"/>
    <w:rsid w:val="0039210B"/>
    <w:rsid w:val="00392A7A"/>
    <w:rsid w:val="0039404B"/>
    <w:rsid w:val="00394591"/>
    <w:rsid w:val="003960A4"/>
    <w:rsid w:val="00397452"/>
    <w:rsid w:val="003A1F5B"/>
    <w:rsid w:val="003A224B"/>
    <w:rsid w:val="003A3920"/>
    <w:rsid w:val="003A6B87"/>
    <w:rsid w:val="003B181F"/>
    <w:rsid w:val="003B18A1"/>
    <w:rsid w:val="003B320E"/>
    <w:rsid w:val="003B3E65"/>
    <w:rsid w:val="003B4B2C"/>
    <w:rsid w:val="003B4C40"/>
    <w:rsid w:val="003B54ED"/>
    <w:rsid w:val="003B6641"/>
    <w:rsid w:val="003B6ED3"/>
    <w:rsid w:val="003B7252"/>
    <w:rsid w:val="003B7D57"/>
    <w:rsid w:val="003C18F6"/>
    <w:rsid w:val="003C1EA5"/>
    <w:rsid w:val="003C2A5E"/>
    <w:rsid w:val="003C596A"/>
    <w:rsid w:val="003C7CC6"/>
    <w:rsid w:val="003D3874"/>
    <w:rsid w:val="003D39ED"/>
    <w:rsid w:val="003D468C"/>
    <w:rsid w:val="003D5AF5"/>
    <w:rsid w:val="003D655D"/>
    <w:rsid w:val="003E030A"/>
    <w:rsid w:val="003E0B5A"/>
    <w:rsid w:val="003E2B22"/>
    <w:rsid w:val="003E3B76"/>
    <w:rsid w:val="003E43D7"/>
    <w:rsid w:val="003E5670"/>
    <w:rsid w:val="003E714D"/>
    <w:rsid w:val="003E778E"/>
    <w:rsid w:val="003F1998"/>
    <w:rsid w:val="0040036D"/>
    <w:rsid w:val="004003FF"/>
    <w:rsid w:val="004045AA"/>
    <w:rsid w:val="004076BF"/>
    <w:rsid w:val="00410712"/>
    <w:rsid w:val="00411945"/>
    <w:rsid w:val="00414F92"/>
    <w:rsid w:val="00415317"/>
    <w:rsid w:val="00416AA3"/>
    <w:rsid w:val="00420B5A"/>
    <w:rsid w:val="004219FA"/>
    <w:rsid w:val="00421EA0"/>
    <w:rsid w:val="0042232D"/>
    <w:rsid w:val="00432124"/>
    <w:rsid w:val="004334DE"/>
    <w:rsid w:val="00433B58"/>
    <w:rsid w:val="00433C48"/>
    <w:rsid w:val="00435D54"/>
    <w:rsid w:val="0043690C"/>
    <w:rsid w:val="00436B36"/>
    <w:rsid w:val="004406B3"/>
    <w:rsid w:val="00440BC4"/>
    <w:rsid w:val="00441127"/>
    <w:rsid w:val="004421D6"/>
    <w:rsid w:val="00444914"/>
    <w:rsid w:val="00454C74"/>
    <w:rsid w:val="004559A7"/>
    <w:rsid w:val="00460BF0"/>
    <w:rsid w:val="00460D17"/>
    <w:rsid w:val="004627DC"/>
    <w:rsid w:val="00464925"/>
    <w:rsid w:val="00465798"/>
    <w:rsid w:val="00467B93"/>
    <w:rsid w:val="004725DA"/>
    <w:rsid w:val="00473721"/>
    <w:rsid w:val="00474BD7"/>
    <w:rsid w:val="00475F4E"/>
    <w:rsid w:val="00476D28"/>
    <w:rsid w:val="00481909"/>
    <w:rsid w:val="004848CD"/>
    <w:rsid w:val="00484B1F"/>
    <w:rsid w:val="0048582F"/>
    <w:rsid w:val="004912D1"/>
    <w:rsid w:val="00491A98"/>
    <w:rsid w:val="00491ED0"/>
    <w:rsid w:val="00492B8A"/>
    <w:rsid w:val="00495522"/>
    <w:rsid w:val="00495EB5"/>
    <w:rsid w:val="00496832"/>
    <w:rsid w:val="00496F50"/>
    <w:rsid w:val="004A0619"/>
    <w:rsid w:val="004A26E6"/>
    <w:rsid w:val="004A2BD4"/>
    <w:rsid w:val="004A3271"/>
    <w:rsid w:val="004A32B6"/>
    <w:rsid w:val="004A4E42"/>
    <w:rsid w:val="004A59F8"/>
    <w:rsid w:val="004B1950"/>
    <w:rsid w:val="004B28E6"/>
    <w:rsid w:val="004B4CB8"/>
    <w:rsid w:val="004B511F"/>
    <w:rsid w:val="004B6388"/>
    <w:rsid w:val="004C0DAE"/>
    <w:rsid w:val="004C2ED0"/>
    <w:rsid w:val="004C30D4"/>
    <w:rsid w:val="004C4CD6"/>
    <w:rsid w:val="004D08B4"/>
    <w:rsid w:val="004D2568"/>
    <w:rsid w:val="004D4A87"/>
    <w:rsid w:val="004D4B11"/>
    <w:rsid w:val="004D6035"/>
    <w:rsid w:val="004D73C1"/>
    <w:rsid w:val="004E0F96"/>
    <w:rsid w:val="004E10C1"/>
    <w:rsid w:val="004E1BC6"/>
    <w:rsid w:val="004E2FBF"/>
    <w:rsid w:val="004E3EC2"/>
    <w:rsid w:val="004E3F5E"/>
    <w:rsid w:val="004E433A"/>
    <w:rsid w:val="004E5126"/>
    <w:rsid w:val="004E5929"/>
    <w:rsid w:val="004E593A"/>
    <w:rsid w:val="004E5D30"/>
    <w:rsid w:val="004F01C1"/>
    <w:rsid w:val="004F04EB"/>
    <w:rsid w:val="004F1D79"/>
    <w:rsid w:val="004F2CEA"/>
    <w:rsid w:val="004F5412"/>
    <w:rsid w:val="004F6ACA"/>
    <w:rsid w:val="00503EA8"/>
    <w:rsid w:val="005040C3"/>
    <w:rsid w:val="00505877"/>
    <w:rsid w:val="00505EFF"/>
    <w:rsid w:val="0050609B"/>
    <w:rsid w:val="005073F6"/>
    <w:rsid w:val="00507C8B"/>
    <w:rsid w:val="005124AE"/>
    <w:rsid w:val="00512775"/>
    <w:rsid w:val="005134AC"/>
    <w:rsid w:val="00513AD1"/>
    <w:rsid w:val="005141D6"/>
    <w:rsid w:val="00515FC2"/>
    <w:rsid w:val="0051624D"/>
    <w:rsid w:val="0051718D"/>
    <w:rsid w:val="00517E48"/>
    <w:rsid w:val="00521137"/>
    <w:rsid w:val="00522FB0"/>
    <w:rsid w:val="005239ED"/>
    <w:rsid w:val="005243ED"/>
    <w:rsid w:val="0052477B"/>
    <w:rsid w:val="00524D68"/>
    <w:rsid w:val="00526596"/>
    <w:rsid w:val="00526FC1"/>
    <w:rsid w:val="00527449"/>
    <w:rsid w:val="00530523"/>
    <w:rsid w:val="00531E9B"/>
    <w:rsid w:val="00532351"/>
    <w:rsid w:val="0053385B"/>
    <w:rsid w:val="005347E2"/>
    <w:rsid w:val="00535CF0"/>
    <w:rsid w:val="005362A1"/>
    <w:rsid w:val="005367C8"/>
    <w:rsid w:val="00537DCB"/>
    <w:rsid w:val="00540267"/>
    <w:rsid w:val="00540DB0"/>
    <w:rsid w:val="00542671"/>
    <w:rsid w:val="00544581"/>
    <w:rsid w:val="00544B60"/>
    <w:rsid w:val="005468A0"/>
    <w:rsid w:val="00546BA9"/>
    <w:rsid w:val="00550B1E"/>
    <w:rsid w:val="005524BA"/>
    <w:rsid w:val="00553A8B"/>
    <w:rsid w:val="005553D2"/>
    <w:rsid w:val="005559AB"/>
    <w:rsid w:val="00560F71"/>
    <w:rsid w:val="00562D26"/>
    <w:rsid w:val="0057054B"/>
    <w:rsid w:val="0057110C"/>
    <w:rsid w:val="00571EA3"/>
    <w:rsid w:val="00572EEE"/>
    <w:rsid w:val="005737EC"/>
    <w:rsid w:val="00574646"/>
    <w:rsid w:val="0058148C"/>
    <w:rsid w:val="00581FA3"/>
    <w:rsid w:val="0058573D"/>
    <w:rsid w:val="00585E14"/>
    <w:rsid w:val="00586A42"/>
    <w:rsid w:val="0059101E"/>
    <w:rsid w:val="005915AF"/>
    <w:rsid w:val="00593755"/>
    <w:rsid w:val="005944BF"/>
    <w:rsid w:val="00594D27"/>
    <w:rsid w:val="00596579"/>
    <w:rsid w:val="00596C30"/>
    <w:rsid w:val="005A004C"/>
    <w:rsid w:val="005A0642"/>
    <w:rsid w:val="005A0EC1"/>
    <w:rsid w:val="005A1CCC"/>
    <w:rsid w:val="005A353A"/>
    <w:rsid w:val="005A5ACF"/>
    <w:rsid w:val="005A7300"/>
    <w:rsid w:val="005A73BA"/>
    <w:rsid w:val="005A7617"/>
    <w:rsid w:val="005A7928"/>
    <w:rsid w:val="005B209E"/>
    <w:rsid w:val="005B23DA"/>
    <w:rsid w:val="005B5318"/>
    <w:rsid w:val="005C30E1"/>
    <w:rsid w:val="005C529B"/>
    <w:rsid w:val="005C7F23"/>
    <w:rsid w:val="005D1935"/>
    <w:rsid w:val="005D1A2D"/>
    <w:rsid w:val="005D1BB2"/>
    <w:rsid w:val="005D222E"/>
    <w:rsid w:val="005D7A6D"/>
    <w:rsid w:val="005E0065"/>
    <w:rsid w:val="005E0688"/>
    <w:rsid w:val="005E0C1E"/>
    <w:rsid w:val="005E2910"/>
    <w:rsid w:val="005E3063"/>
    <w:rsid w:val="005E30CE"/>
    <w:rsid w:val="005E61A0"/>
    <w:rsid w:val="005E7C10"/>
    <w:rsid w:val="005F0ABC"/>
    <w:rsid w:val="005F5DB5"/>
    <w:rsid w:val="005F5DF6"/>
    <w:rsid w:val="005F614C"/>
    <w:rsid w:val="005F67AF"/>
    <w:rsid w:val="00601BC0"/>
    <w:rsid w:val="00602C8B"/>
    <w:rsid w:val="0060335E"/>
    <w:rsid w:val="00603D0D"/>
    <w:rsid w:val="0060470E"/>
    <w:rsid w:val="00604972"/>
    <w:rsid w:val="00605C9D"/>
    <w:rsid w:val="00610020"/>
    <w:rsid w:val="006115FD"/>
    <w:rsid w:val="00612D4F"/>
    <w:rsid w:val="006148E7"/>
    <w:rsid w:val="006175B4"/>
    <w:rsid w:val="006201E3"/>
    <w:rsid w:val="0062105F"/>
    <w:rsid w:val="0062337E"/>
    <w:rsid w:val="0062382F"/>
    <w:rsid w:val="00624B40"/>
    <w:rsid w:val="00624E06"/>
    <w:rsid w:val="00631A10"/>
    <w:rsid w:val="006326AF"/>
    <w:rsid w:val="00633164"/>
    <w:rsid w:val="00634D3B"/>
    <w:rsid w:val="00634D72"/>
    <w:rsid w:val="00634ED2"/>
    <w:rsid w:val="00640F59"/>
    <w:rsid w:val="00642737"/>
    <w:rsid w:val="0064341C"/>
    <w:rsid w:val="00643C8E"/>
    <w:rsid w:val="00645667"/>
    <w:rsid w:val="00647092"/>
    <w:rsid w:val="00651776"/>
    <w:rsid w:val="0065183E"/>
    <w:rsid w:val="00654B28"/>
    <w:rsid w:val="00655357"/>
    <w:rsid w:val="00656283"/>
    <w:rsid w:val="00656C6F"/>
    <w:rsid w:val="00661B1A"/>
    <w:rsid w:val="00661D20"/>
    <w:rsid w:val="00662637"/>
    <w:rsid w:val="00664DA3"/>
    <w:rsid w:val="00664E12"/>
    <w:rsid w:val="006746A7"/>
    <w:rsid w:val="0067684D"/>
    <w:rsid w:val="00676E01"/>
    <w:rsid w:val="00677A2B"/>
    <w:rsid w:val="00681BD7"/>
    <w:rsid w:val="00681F44"/>
    <w:rsid w:val="00684E8B"/>
    <w:rsid w:val="00685BDF"/>
    <w:rsid w:val="006867C5"/>
    <w:rsid w:val="00687507"/>
    <w:rsid w:val="006917DD"/>
    <w:rsid w:val="00694930"/>
    <w:rsid w:val="00696F33"/>
    <w:rsid w:val="00697B5D"/>
    <w:rsid w:val="006A11E8"/>
    <w:rsid w:val="006A372D"/>
    <w:rsid w:val="006A40D6"/>
    <w:rsid w:val="006A7DF8"/>
    <w:rsid w:val="006B0074"/>
    <w:rsid w:val="006B00D8"/>
    <w:rsid w:val="006B0CDD"/>
    <w:rsid w:val="006B5FAA"/>
    <w:rsid w:val="006C0F10"/>
    <w:rsid w:val="006C12E6"/>
    <w:rsid w:val="006C29FE"/>
    <w:rsid w:val="006C2A77"/>
    <w:rsid w:val="006C6291"/>
    <w:rsid w:val="006C7663"/>
    <w:rsid w:val="006C7E81"/>
    <w:rsid w:val="006D0655"/>
    <w:rsid w:val="006D32C7"/>
    <w:rsid w:val="006D53A3"/>
    <w:rsid w:val="006D7CB9"/>
    <w:rsid w:val="006E081B"/>
    <w:rsid w:val="006E528F"/>
    <w:rsid w:val="006E5FFD"/>
    <w:rsid w:val="006E6670"/>
    <w:rsid w:val="006E6ACE"/>
    <w:rsid w:val="006E7F6B"/>
    <w:rsid w:val="006F0747"/>
    <w:rsid w:val="006F13CE"/>
    <w:rsid w:val="006F196B"/>
    <w:rsid w:val="006F1A1E"/>
    <w:rsid w:val="006F30A7"/>
    <w:rsid w:val="006F3AA6"/>
    <w:rsid w:val="006F3FBE"/>
    <w:rsid w:val="007025EE"/>
    <w:rsid w:val="00703F75"/>
    <w:rsid w:val="0070551D"/>
    <w:rsid w:val="00705D5B"/>
    <w:rsid w:val="00706B54"/>
    <w:rsid w:val="00711385"/>
    <w:rsid w:val="00713507"/>
    <w:rsid w:val="00714A7F"/>
    <w:rsid w:val="00714D79"/>
    <w:rsid w:val="0071779A"/>
    <w:rsid w:val="00720699"/>
    <w:rsid w:val="007219C3"/>
    <w:rsid w:val="00722777"/>
    <w:rsid w:val="00726BF8"/>
    <w:rsid w:val="0072775C"/>
    <w:rsid w:val="00727C3F"/>
    <w:rsid w:val="0074021E"/>
    <w:rsid w:val="0074074E"/>
    <w:rsid w:val="007416D8"/>
    <w:rsid w:val="007444DE"/>
    <w:rsid w:val="00744963"/>
    <w:rsid w:val="00745BBC"/>
    <w:rsid w:val="00745D58"/>
    <w:rsid w:val="007463F3"/>
    <w:rsid w:val="00752912"/>
    <w:rsid w:val="007578AC"/>
    <w:rsid w:val="00761FC3"/>
    <w:rsid w:val="0076227E"/>
    <w:rsid w:val="00764501"/>
    <w:rsid w:val="00765083"/>
    <w:rsid w:val="0076690D"/>
    <w:rsid w:val="00772A26"/>
    <w:rsid w:val="007737B0"/>
    <w:rsid w:val="0077412F"/>
    <w:rsid w:val="00775FE9"/>
    <w:rsid w:val="00780D7B"/>
    <w:rsid w:val="007827B4"/>
    <w:rsid w:val="00785E97"/>
    <w:rsid w:val="00785EA0"/>
    <w:rsid w:val="007868DB"/>
    <w:rsid w:val="00786B95"/>
    <w:rsid w:val="00786CBD"/>
    <w:rsid w:val="007876A7"/>
    <w:rsid w:val="00787B98"/>
    <w:rsid w:val="00790C19"/>
    <w:rsid w:val="00790E40"/>
    <w:rsid w:val="0079223A"/>
    <w:rsid w:val="00794723"/>
    <w:rsid w:val="00796204"/>
    <w:rsid w:val="00796AC6"/>
    <w:rsid w:val="007A0862"/>
    <w:rsid w:val="007A358E"/>
    <w:rsid w:val="007A4519"/>
    <w:rsid w:val="007A68FF"/>
    <w:rsid w:val="007A7AA1"/>
    <w:rsid w:val="007B00F7"/>
    <w:rsid w:val="007B10EE"/>
    <w:rsid w:val="007B1E06"/>
    <w:rsid w:val="007B2243"/>
    <w:rsid w:val="007B2C63"/>
    <w:rsid w:val="007B5250"/>
    <w:rsid w:val="007C3AD3"/>
    <w:rsid w:val="007C4407"/>
    <w:rsid w:val="007D0393"/>
    <w:rsid w:val="007D2930"/>
    <w:rsid w:val="007D4549"/>
    <w:rsid w:val="007D4ACB"/>
    <w:rsid w:val="007D628B"/>
    <w:rsid w:val="007E0828"/>
    <w:rsid w:val="007E0A21"/>
    <w:rsid w:val="007E4142"/>
    <w:rsid w:val="007E4672"/>
    <w:rsid w:val="007E4693"/>
    <w:rsid w:val="007F33FC"/>
    <w:rsid w:val="007F60F8"/>
    <w:rsid w:val="008000A1"/>
    <w:rsid w:val="00800444"/>
    <w:rsid w:val="00800EF0"/>
    <w:rsid w:val="008013C9"/>
    <w:rsid w:val="00801AD2"/>
    <w:rsid w:val="008036E2"/>
    <w:rsid w:val="00803923"/>
    <w:rsid w:val="00812706"/>
    <w:rsid w:val="008131C6"/>
    <w:rsid w:val="00813BE1"/>
    <w:rsid w:val="008166AE"/>
    <w:rsid w:val="008209A7"/>
    <w:rsid w:val="00822E39"/>
    <w:rsid w:val="008237EC"/>
    <w:rsid w:val="008242A9"/>
    <w:rsid w:val="0082486F"/>
    <w:rsid w:val="00824AA4"/>
    <w:rsid w:val="00825394"/>
    <w:rsid w:val="008306DA"/>
    <w:rsid w:val="00830CD3"/>
    <w:rsid w:val="00830F47"/>
    <w:rsid w:val="0083131B"/>
    <w:rsid w:val="00831670"/>
    <w:rsid w:val="00831842"/>
    <w:rsid w:val="00831B6E"/>
    <w:rsid w:val="0083488D"/>
    <w:rsid w:val="00834AB7"/>
    <w:rsid w:val="00835B4C"/>
    <w:rsid w:val="00841051"/>
    <w:rsid w:val="008419CC"/>
    <w:rsid w:val="00841A85"/>
    <w:rsid w:val="00841B87"/>
    <w:rsid w:val="008429D1"/>
    <w:rsid w:val="00844D7B"/>
    <w:rsid w:val="008459DC"/>
    <w:rsid w:val="00850E47"/>
    <w:rsid w:val="0085125D"/>
    <w:rsid w:val="00852226"/>
    <w:rsid w:val="0085340E"/>
    <w:rsid w:val="008538B9"/>
    <w:rsid w:val="008546F0"/>
    <w:rsid w:val="008619CA"/>
    <w:rsid w:val="008621CC"/>
    <w:rsid w:val="0086252E"/>
    <w:rsid w:val="008625DD"/>
    <w:rsid w:val="00862DE2"/>
    <w:rsid w:val="008637FA"/>
    <w:rsid w:val="008638BC"/>
    <w:rsid w:val="008678B5"/>
    <w:rsid w:val="00870948"/>
    <w:rsid w:val="00871AEB"/>
    <w:rsid w:val="00877094"/>
    <w:rsid w:val="00880C24"/>
    <w:rsid w:val="0088174E"/>
    <w:rsid w:val="00885F9C"/>
    <w:rsid w:val="008863AF"/>
    <w:rsid w:val="00886E4C"/>
    <w:rsid w:val="008877B7"/>
    <w:rsid w:val="008906C5"/>
    <w:rsid w:val="00891689"/>
    <w:rsid w:val="00894361"/>
    <w:rsid w:val="008945BA"/>
    <w:rsid w:val="008961D2"/>
    <w:rsid w:val="00897FFC"/>
    <w:rsid w:val="008A08A7"/>
    <w:rsid w:val="008A1924"/>
    <w:rsid w:val="008A285F"/>
    <w:rsid w:val="008A3324"/>
    <w:rsid w:val="008A4A23"/>
    <w:rsid w:val="008A6EEF"/>
    <w:rsid w:val="008B4040"/>
    <w:rsid w:val="008B50DD"/>
    <w:rsid w:val="008B6663"/>
    <w:rsid w:val="008C1555"/>
    <w:rsid w:val="008C2062"/>
    <w:rsid w:val="008C606C"/>
    <w:rsid w:val="008C7D9D"/>
    <w:rsid w:val="008D0FE6"/>
    <w:rsid w:val="008D3BC9"/>
    <w:rsid w:val="008D4962"/>
    <w:rsid w:val="008D6E1A"/>
    <w:rsid w:val="008D6E7C"/>
    <w:rsid w:val="008E5176"/>
    <w:rsid w:val="008E6CCE"/>
    <w:rsid w:val="008E7997"/>
    <w:rsid w:val="008E7BB6"/>
    <w:rsid w:val="008F0B6E"/>
    <w:rsid w:val="008F1BE8"/>
    <w:rsid w:val="008F4A12"/>
    <w:rsid w:val="00901E37"/>
    <w:rsid w:val="00903FC6"/>
    <w:rsid w:val="009057C2"/>
    <w:rsid w:val="009059FE"/>
    <w:rsid w:val="009072B4"/>
    <w:rsid w:val="00907567"/>
    <w:rsid w:val="00907AA9"/>
    <w:rsid w:val="00910C5A"/>
    <w:rsid w:val="009119FB"/>
    <w:rsid w:val="009120A3"/>
    <w:rsid w:val="00912810"/>
    <w:rsid w:val="00912B41"/>
    <w:rsid w:val="009136A9"/>
    <w:rsid w:val="009140E6"/>
    <w:rsid w:val="00914879"/>
    <w:rsid w:val="00916B81"/>
    <w:rsid w:val="009173EC"/>
    <w:rsid w:val="00917D36"/>
    <w:rsid w:val="00920BB1"/>
    <w:rsid w:val="00920BC3"/>
    <w:rsid w:val="0092404C"/>
    <w:rsid w:val="00925451"/>
    <w:rsid w:val="00933244"/>
    <w:rsid w:val="0093388E"/>
    <w:rsid w:val="00936419"/>
    <w:rsid w:val="00940878"/>
    <w:rsid w:val="00941B83"/>
    <w:rsid w:val="00943A54"/>
    <w:rsid w:val="0094514A"/>
    <w:rsid w:val="00946CEF"/>
    <w:rsid w:val="0094767F"/>
    <w:rsid w:val="00951059"/>
    <w:rsid w:val="009532ED"/>
    <w:rsid w:val="00953ADF"/>
    <w:rsid w:val="0095535D"/>
    <w:rsid w:val="0096146D"/>
    <w:rsid w:val="00961846"/>
    <w:rsid w:val="009622F8"/>
    <w:rsid w:val="0096461C"/>
    <w:rsid w:val="00964854"/>
    <w:rsid w:val="00964BA6"/>
    <w:rsid w:val="009709A9"/>
    <w:rsid w:val="009721DF"/>
    <w:rsid w:val="00981F77"/>
    <w:rsid w:val="00983721"/>
    <w:rsid w:val="00984CB9"/>
    <w:rsid w:val="00984CCB"/>
    <w:rsid w:val="00986C76"/>
    <w:rsid w:val="00987489"/>
    <w:rsid w:val="00987638"/>
    <w:rsid w:val="0098792B"/>
    <w:rsid w:val="00987B74"/>
    <w:rsid w:val="009901EF"/>
    <w:rsid w:val="0099090E"/>
    <w:rsid w:val="009912DF"/>
    <w:rsid w:val="0099211D"/>
    <w:rsid w:val="00992588"/>
    <w:rsid w:val="00993143"/>
    <w:rsid w:val="0099336E"/>
    <w:rsid w:val="0099454E"/>
    <w:rsid w:val="009A1251"/>
    <w:rsid w:val="009A1C9B"/>
    <w:rsid w:val="009A307B"/>
    <w:rsid w:val="009A3A2C"/>
    <w:rsid w:val="009A51E9"/>
    <w:rsid w:val="009A57D5"/>
    <w:rsid w:val="009B0013"/>
    <w:rsid w:val="009B14DA"/>
    <w:rsid w:val="009B1C53"/>
    <w:rsid w:val="009B1F8D"/>
    <w:rsid w:val="009B40BD"/>
    <w:rsid w:val="009B545D"/>
    <w:rsid w:val="009B7A4E"/>
    <w:rsid w:val="009B7CA7"/>
    <w:rsid w:val="009C0D4B"/>
    <w:rsid w:val="009C1BAF"/>
    <w:rsid w:val="009C38C9"/>
    <w:rsid w:val="009C6CE7"/>
    <w:rsid w:val="009C74B0"/>
    <w:rsid w:val="009C7E59"/>
    <w:rsid w:val="009D0BA0"/>
    <w:rsid w:val="009D1790"/>
    <w:rsid w:val="009D2AF6"/>
    <w:rsid w:val="009D3CF7"/>
    <w:rsid w:val="009D407C"/>
    <w:rsid w:val="009D444F"/>
    <w:rsid w:val="009D477B"/>
    <w:rsid w:val="009D4AE6"/>
    <w:rsid w:val="009E1A01"/>
    <w:rsid w:val="009E22A7"/>
    <w:rsid w:val="009E2778"/>
    <w:rsid w:val="009E45AE"/>
    <w:rsid w:val="009F151A"/>
    <w:rsid w:val="009F1650"/>
    <w:rsid w:val="009F176E"/>
    <w:rsid w:val="009F25DB"/>
    <w:rsid w:val="009F27F3"/>
    <w:rsid w:val="009F2AC5"/>
    <w:rsid w:val="009F2B2E"/>
    <w:rsid w:val="009F7CCA"/>
    <w:rsid w:val="00A006CF"/>
    <w:rsid w:val="00A0401B"/>
    <w:rsid w:val="00A05351"/>
    <w:rsid w:val="00A06C01"/>
    <w:rsid w:val="00A072D7"/>
    <w:rsid w:val="00A073F7"/>
    <w:rsid w:val="00A07418"/>
    <w:rsid w:val="00A10011"/>
    <w:rsid w:val="00A10AFC"/>
    <w:rsid w:val="00A152DD"/>
    <w:rsid w:val="00A16326"/>
    <w:rsid w:val="00A17133"/>
    <w:rsid w:val="00A1771B"/>
    <w:rsid w:val="00A17C20"/>
    <w:rsid w:val="00A211DA"/>
    <w:rsid w:val="00A2484A"/>
    <w:rsid w:val="00A27C89"/>
    <w:rsid w:val="00A31484"/>
    <w:rsid w:val="00A3455B"/>
    <w:rsid w:val="00A369C8"/>
    <w:rsid w:val="00A41EE1"/>
    <w:rsid w:val="00A42066"/>
    <w:rsid w:val="00A46202"/>
    <w:rsid w:val="00A46A4A"/>
    <w:rsid w:val="00A517EC"/>
    <w:rsid w:val="00A52122"/>
    <w:rsid w:val="00A53E97"/>
    <w:rsid w:val="00A544CF"/>
    <w:rsid w:val="00A547F7"/>
    <w:rsid w:val="00A56BC7"/>
    <w:rsid w:val="00A62324"/>
    <w:rsid w:val="00A63233"/>
    <w:rsid w:val="00A64C96"/>
    <w:rsid w:val="00A64ECD"/>
    <w:rsid w:val="00A7047A"/>
    <w:rsid w:val="00A73FA1"/>
    <w:rsid w:val="00A75236"/>
    <w:rsid w:val="00A754C9"/>
    <w:rsid w:val="00A75997"/>
    <w:rsid w:val="00A81793"/>
    <w:rsid w:val="00A8314D"/>
    <w:rsid w:val="00A855BB"/>
    <w:rsid w:val="00A87227"/>
    <w:rsid w:val="00A90469"/>
    <w:rsid w:val="00A928E4"/>
    <w:rsid w:val="00A92A50"/>
    <w:rsid w:val="00A953FA"/>
    <w:rsid w:val="00A97302"/>
    <w:rsid w:val="00AA065B"/>
    <w:rsid w:val="00AA1C4F"/>
    <w:rsid w:val="00AA351D"/>
    <w:rsid w:val="00AA3CD5"/>
    <w:rsid w:val="00AB0B1F"/>
    <w:rsid w:val="00AB0EA0"/>
    <w:rsid w:val="00AB0EB8"/>
    <w:rsid w:val="00AB2224"/>
    <w:rsid w:val="00AB2F65"/>
    <w:rsid w:val="00AB4ADC"/>
    <w:rsid w:val="00AB4E88"/>
    <w:rsid w:val="00AC0128"/>
    <w:rsid w:val="00AC112D"/>
    <w:rsid w:val="00AC1409"/>
    <w:rsid w:val="00AC55D7"/>
    <w:rsid w:val="00AC5C38"/>
    <w:rsid w:val="00AC5D88"/>
    <w:rsid w:val="00AC5FC7"/>
    <w:rsid w:val="00AC633F"/>
    <w:rsid w:val="00AC6452"/>
    <w:rsid w:val="00AC6BB4"/>
    <w:rsid w:val="00AC72B4"/>
    <w:rsid w:val="00AC756B"/>
    <w:rsid w:val="00AC7590"/>
    <w:rsid w:val="00AD0D06"/>
    <w:rsid w:val="00AD334C"/>
    <w:rsid w:val="00AD363F"/>
    <w:rsid w:val="00AD4ED0"/>
    <w:rsid w:val="00AD51C1"/>
    <w:rsid w:val="00AD582F"/>
    <w:rsid w:val="00AD58BA"/>
    <w:rsid w:val="00AE1792"/>
    <w:rsid w:val="00AE2C2B"/>
    <w:rsid w:val="00AE2C5E"/>
    <w:rsid w:val="00AE2CCF"/>
    <w:rsid w:val="00AE2FA8"/>
    <w:rsid w:val="00AE3D2A"/>
    <w:rsid w:val="00AE5AD3"/>
    <w:rsid w:val="00AF282D"/>
    <w:rsid w:val="00AF7226"/>
    <w:rsid w:val="00B00630"/>
    <w:rsid w:val="00B00B72"/>
    <w:rsid w:val="00B00DDB"/>
    <w:rsid w:val="00B0133C"/>
    <w:rsid w:val="00B014CA"/>
    <w:rsid w:val="00B01F78"/>
    <w:rsid w:val="00B02051"/>
    <w:rsid w:val="00B03DCC"/>
    <w:rsid w:val="00B057B2"/>
    <w:rsid w:val="00B05C57"/>
    <w:rsid w:val="00B05EFA"/>
    <w:rsid w:val="00B1012F"/>
    <w:rsid w:val="00B10D5C"/>
    <w:rsid w:val="00B1162E"/>
    <w:rsid w:val="00B11D40"/>
    <w:rsid w:val="00B13D0C"/>
    <w:rsid w:val="00B17245"/>
    <w:rsid w:val="00B211EE"/>
    <w:rsid w:val="00B212A2"/>
    <w:rsid w:val="00B21F2D"/>
    <w:rsid w:val="00B21F72"/>
    <w:rsid w:val="00B26C9C"/>
    <w:rsid w:val="00B2767F"/>
    <w:rsid w:val="00B319F6"/>
    <w:rsid w:val="00B31F7C"/>
    <w:rsid w:val="00B3226B"/>
    <w:rsid w:val="00B3276E"/>
    <w:rsid w:val="00B3331D"/>
    <w:rsid w:val="00B33F08"/>
    <w:rsid w:val="00B3570B"/>
    <w:rsid w:val="00B35A16"/>
    <w:rsid w:val="00B36E93"/>
    <w:rsid w:val="00B4026F"/>
    <w:rsid w:val="00B40DC8"/>
    <w:rsid w:val="00B41744"/>
    <w:rsid w:val="00B43129"/>
    <w:rsid w:val="00B43D8F"/>
    <w:rsid w:val="00B45811"/>
    <w:rsid w:val="00B464F9"/>
    <w:rsid w:val="00B515F3"/>
    <w:rsid w:val="00B522D7"/>
    <w:rsid w:val="00B54458"/>
    <w:rsid w:val="00B54B62"/>
    <w:rsid w:val="00B5662E"/>
    <w:rsid w:val="00B57824"/>
    <w:rsid w:val="00B57D84"/>
    <w:rsid w:val="00B60E44"/>
    <w:rsid w:val="00B62879"/>
    <w:rsid w:val="00B629EC"/>
    <w:rsid w:val="00B629F1"/>
    <w:rsid w:val="00B637CE"/>
    <w:rsid w:val="00B66135"/>
    <w:rsid w:val="00B66476"/>
    <w:rsid w:val="00B72A62"/>
    <w:rsid w:val="00B72F3C"/>
    <w:rsid w:val="00B736D5"/>
    <w:rsid w:val="00B74140"/>
    <w:rsid w:val="00B75A6F"/>
    <w:rsid w:val="00B77D2C"/>
    <w:rsid w:val="00B80EA0"/>
    <w:rsid w:val="00B832A4"/>
    <w:rsid w:val="00B844A2"/>
    <w:rsid w:val="00B90A0A"/>
    <w:rsid w:val="00B92564"/>
    <w:rsid w:val="00B94CD3"/>
    <w:rsid w:val="00BA0829"/>
    <w:rsid w:val="00BA1995"/>
    <w:rsid w:val="00BA423E"/>
    <w:rsid w:val="00BA4F4C"/>
    <w:rsid w:val="00BA6A9D"/>
    <w:rsid w:val="00BA776F"/>
    <w:rsid w:val="00BB19D8"/>
    <w:rsid w:val="00BB1B31"/>
    <w:rsid w:val="00BB2BED"/>
    <w:rsid w:val="00BC1280"/>
    <w:rsid w:val="00BC513C"/>
    <w:rsid w:val="00BD01FD"/>
    <w:rsid w:val="00BD037E"/>
    <w:rsid w:val="00BD03D6"/>
    <w:rsid w:val="00BD2885"/>
    <w:rsid w:val="00BD3CA2"/>
    <w:rsid w:val="00BD4405"/>
    <w:rsid w:val="00BD7141"/>
    <w:rsid w:val="00BD73A6"/>
    <w:rsid w:val="00BD782E"/>
    <w:rsid w:val="00BD7B00"/>
    <w:rsid w:val="00BE102B"/>
    <w:rsid w:val="00BE1674"/>
    <w:rsid w:val="00BE16C7"/>
    <w:rsid w:val="00BE20E6"/>
    <w:rsid w:val="00BE22F6"/>
    <w:rsid w:val="00BE24B5"/>
    <w:rsid w:val="00BE2C7C"/>
    <w:rsid w:val="00BE34BF"/>
    <w:rsid w:val="00BE4364"/>
    <w:rsid w:val="00BE43A5"/>
    <w:rsid w:val="00BE4A93"/>
    <w:rsid w:val="00BE4B48"/>
    <w:rsid w:val="00BE5CCA"/>
    <w:rsid w:val="00BF0006"/>
    <w:rsid w:val="00BF0A9C"/>
    <w:rsid w:val="00BF1F9D"/>
    <w:rsid w:val="00BF3A7D"/>
    <w:rsid w:val="00BF65E7"/>
    <w:rsid w:val="00C003E9"/>
    <w:rsid w:val="00C01697"/>
    <w:rsid w:val="00C0278A"/>
    <w:rsid w:val="00C03DB6"/>
    <w:rsid w:val="00C03EEA"/>
    <w:rsid w:val="00C0583A"/>
    <w:rsid w:val="00C05998"/>
    <w:rsid w:val="00C05E8E"/>
    <w:rsid w:val="00C06684"/>
    <w:rsid w:val="00C069A3"/>
    <w:rsid w:val="00C07D69"/>
    <w:rsid w:val="00C10C2E"/>
    <w:rsid w:val="00C13CC8"/>
    <w:rsid w:val="00C13E07"/>
    <w:rsid w:val="00C13F28"/>
    <w:rsid w:val="00C14946"/>
    <w:rsid w:val="00C16767"/>
    <w:rsid w:val="00C172A7"/>
    <w:rsid w:val="00C1773E"/>
    <w:rsid w:val="00C20EB5"/>
    <w:rsid w:val="00C239BE"/>
    <w:rsid w:val="00C23EF9"/>
    <w:rsid w:val="00C24DD8"/>
    <w:rsid w:val="00C25076"/>
    <w:rsid w:val="00C266CE"/>
    <w:rsid w:val="00C27833"/>
    <w:rsid w:val="00C31531"/>
    <w:rsid w:val="00C3318D"/>
    <w:rsid w:val="00C34547"/>
    <w:rsid w:val="00C34E41"/>
    <w:rsid w:val="00C350F2"/>
    <w:rsid w:val="00C357FF"/>
    <w:rsid w:val="00C358DE"/>
    <w:rsid w:val="00C40BA8"/>
    <w:rsid w:val="00C40ECB"/>
    <w:rsid w:val="00C41AA2"/>
    <w:rsid w:val="00C41E72"/>
    <w:rsid w:val="00C447C9"/>
    <w:rsid w:val="00C45549"/>
    <w:rsid w:val="00C4651E"/>
    <w:rsid w:val="00C53F1C"/>
    <w:rsid w:val="00C561D8"/>
    <w:rsid w:val="00C57F0E"/>
    <w:rsid w:val="00C600C7"/>
    <w:rsid w:val="00C640C2"/>
    <w:rsid w:val="00C64FB9"/>
    <w:rsid w:val="00C6674D"/>
    <w:rsid w:val="00C67AE6"/>
    <w:rsid w:val="00C67DB6"/>
    <w:rsid w:val="00C70979"/>
    <w:rsid w:val="00C718FC"/>
    <w:rsid w:val="00C72963"/>
    <w:rsid w:val="00C7345B"/>
    <w:rsid w:val="00C735F8"/>
    <w:rsid w:val="00C7417D"/>
    <w:rsid w:val="00C74546"/>
    <w:rsid w:val="00C800FB"/>
    <w:rsid w:val="00C8184E"/>
    <w:rsid w:val="00C8428D"/>
    <w:rsid w:val="00C86A6A"/>
    <w:rsid w:val="00C90018"/>
    <w:rsid w:val="00C937B5"/>
    <w:rsid w:val="00C93917"/>
    <w:rsid w:val="00C95C7A"/>
    <w:rsid w:val="00C9610C"/>
    <w:rsid w:val="00C96DE1"/>
    <w:rsid w:val="00C97985"/>
    <w:rsid w:val="00CA02FA"/>
    <w:rsid w:val="00CA2FF5"/>
    <w:rsid w:val="00CA330B"/>
    <w:rsid w:val="00CA37D3"/>
    <w:rsid w:val="00CA4E5E"/>
    <w:rsid w:val="00CB0181"/>
    <w:rsid w:val="00CB6B80"/>
    <w:rsid w:val="00CB7F38"/>
    <w:rsid w:val="00CC0158"/>
    <w:rsid w:val="00CC1C09"/>
    <w:rsid w:val="00CC1CD9"/>
    <w:rsid w:val="00CC2A4D"/>
    <w:rsid w:val="00CC32D9"/>
    <w:rsid w:val="00CC34C6"/>
    <w:rsid w:val="00CC34E9"/>
    <w:rsid w:val="00CC594D"/>
    <w:rsid w:val="00CC6337"/>
    <w:rsid w:val="00CC6662"/>
    <w:rsid w:val="00CD0EDB"/>
    <w:rsid w:val="00CD2684"/>
    <w:rsid w:val="00CD2B61"/>
    <w:rsid w:val="00CD3342"/>
    <w:rsid w:val="00CD33AC"/>
    <w:rsid w:val="00CD396F"/>
    <w:rsid w:val="00CD608F"/>
    <w:rsid w:val="00CD790E"/>
    <w:rsid w:val="00CE2768"/>
    <w:rsid w:val="00CE3FEC"/>
    <w:rsid w:val="00CE5D28"/>
    <w:rsid w:val="00CE7AEA"/>
    <w:rsid w:val="00CE7EB4"/>
    <w:rsid w:val="00CF296A"/>
    <w:rsid w:val="00CF3BCF"/>
    <w:rsid w:val="00CF3F7E"/>
    <w:rsid w:val="00CF50F9"/>
    <w:rsid w:val="00CF6B46"/>
    <w:rsid w:val="00CF6B9E"/>
    <w:rsid w:val="00CF725D"/>
    <w:rsid w:val="00CF7383"/>
    <w:rsid w:val="00CF7F80"/>
    <w:rsid w:val="00D01035"/>
    <w:rsid w:val="00D02A11"/>
    <w:rsid w:val="00D04EAC"/>
    <w:rsid w:val="00D05B9A"/>
    <w:rsid w:val="00D069C9"/>
    <w:rsid w:val="00D07D96"/>
    <w:rsid w:val="00D105F2"/>
    <w:rsid w:val="00D11642"/>
    <w:rsid w:val="00D119FF"/>
    <w:rsid w:val="00D12DF6"/>
    <w:rsid w:val="00D13ECD"/>
    <w:rsid w:val="00D154E5"/>
    <w:rsid w:val="00D162DE"/>
    <w:rsid w:val="00D16532"/>
    <w:rsid w:val="00D209F8"/>
    <w:rsid w:val="00D22CED"/>
    <w:rsid w:val="00D22D9A"/>
    <w:rsid w:val="00D23813"/>
    <w:rsid w:val="00D23C00"/>
    <w:rsid w:val="00D26919"/>
    <w:rsid w:val="00D27EE3"/>
    <w:rsid w:val="00D3248C"/>
    <w:rsid w:val="00D34D1D"/>
    <w:rsid w:val="00D34E59"/>
    <w:rsid w:val="00D36770"/>
    <w:rsid w:val="00D375E5"/>
    <w:rsid w:val="00D37C11"/>
    <w:rsid w:val="00D42834"/>
    <w:rsid w:val="00D43C6F"/>
    <w:rsid w:val="00D44C0B"/>
    <w:rsid w:val="00D50046"/>
    <w:rsid w:val="00D50766"/>
    <w:rsid w:val="00D52904"/>
    <w:rsid w:val="00D52ECF"/>
    <w:rsid w:val="00D5318C"/>
    <w:rsid w:val="00D544F4"/>
    <w:rsid w:val="00D55D04"/>
    <w:rsid w:val="00D57F06"/>
    <w:rsid w:val="00D60401"/>
    <w:rsid w:val="00D60BF4"/>
    <w:rsid w:val="00D60F9B"/>
    <w:rsid w:val="00D6127D"/>
    <w:rsid w:val="00D638F7"/>
    <w:rsid w:val="00D63C71"/>
    <w:rsid w:val="00D67572"/>
    <w:rsid w:val="00D70583"/>
    <w:rsid w:val="00D71C8D"/>
    <w:rsid w:val="00D721DB"/>
    <w:rsid w:val="00D72569"/>
    <w:rsid w:val="00D72779"/>
    <w:rsid w:val="00D72A12"/>
    <w:rsid w:val="00D7376E"/>
    <w:rsid w:val="00D7410F"/>
    <w:rsid w:val="00D77092"/>
    <w:rsid w:val="00D776B6"/>
    <w:rsid w:val="00D80CF2"/>
    <w:rsid w:val="00D82A15"/>
    <w:rsid w:val="00D82C64"/>
    <w:rsid w:val="00D83D0C"/>
    <w:rsid w:val="00D83D45"/>
    <w:rsid w:val="00D854B1"/>
    <w:rsid w:val="00D867D9"/>
    <w:rsid w:val="00D87B69"/>
    <w:rsid w:val="00D918E3"/>
    <w:rsid w:val="00D93243"/>
    <w:rsid w:val="00D93992"/>
    <w:rsid w:val="00D96A0D"/>
    <w:rsid w:val="00DA1EBA"/>
    <w:rsid w:val="00DA2684"/>
    <w:rsid w:val="00DA2B11"/>
    <w:rsid w:val="00DA2F3E"/>
    <w:rsid w:val="00DA323E"/>
    <w:rsid w:val="00DA3317"/>
    <w:rsid w:val="00DA3459"/>
    <w:rsid w:val="00DA36B8"/>
    <w:rsid w:val="00DA60CA"/>
    <w:rsid w:val="00DA7012"/>
    <w:rsid w:val="00DA756B"/>
    <w:rsid w:val="00DB1293"/>
    <w:rsid w:val="00DB3204"/>
    <w:rsid w:val="00DB33F0"/>
    <w:rsid w:val="00DB4D42"/>
    <w:rsid w:val="00DB5E45"/>
    <w:rsid w:val="00DB7064"/>
    <w:rsid w:val="00DB7A68"/>
    <w:rsid w:val="00DC0C57"/>
    <w:rsid w:val="00DC12F4"/>
    <w:rsid w:val="00DC2698"/>
    <w:rsid w:val="00DC3E9B"/>
    <w:rsid w:val="00DC4BD2"/>
    <w:rsid w:val="00DC5838"/>
    <w:rsid w:val="00DC63DD"/>
    <w:rsid w:val="00DC7C76"/>
    <w:rsid w:val="00DD0843"/>
    <w:rsid w:val="00DD0D5D"/>
    <w:rsid w:val="00DD0F09"/>
    <w:rsid w:val="00DD196C"/>
    <w:rsid w:val="00DD41C7"/>
    <w:rsid w:val="00DD512C"/>
    <w:rsid w:val="00DD5843"/>
    <w:rsid w:val="00DD66F9"/>
    <w:rsid w:val="00DD6EB9"/>
    <w:rsid w:val="00DE1341"/>
    <w:rsid w:val="00DE1529"/>
    <w:rsid w:val="00DE3273"/>
    <w:rsid w:val="00DE54A6"/>
    <w:rsid w:val="00DE5500"/>
    <w:rsid w:val="00DE6F40"/>
    <w:rsid w:val="00DE7050"/>
    <w:rsid w:val="00DE7753"/>
    <w:rsid w:val="00DF2789"/>
    <w:rsid w:val="00DF2EFA"/>
    <w:rsid w:val="00DF3E42"/>
    <w:rsid w:val="00DF4E4F"/>
    <w:rsid w:val="00DF591E"/>
    <w:rsid w:val="00DF5F6F"/>
    <w:rsid w:val="00DF7646"/>
    <w:rsid w:val="00E00824"/>
    <w:rsid w:val="00E0209E"/>
    <w:rsid w:val="00E02487"/>
    <w:rsid w:val="00E0432B"/>
    <w:rsid w:val="00E04646"/>
    <w:rsid w:val="00E049F2"/>
    <w:rsid w:val="00E05886"/>
    <w:rsid w:val="00E1088E"/>
    <w:rsid w:val="00E10C4A"/>
    <w:rsid w:val="00E10CF1"/>
    <w:rsid w:val="00E11256"/>
    <w:rsid w:val="00E13D42"/>
    <w:rsid w:val="00E14532"/>
    <w:rsid w:val="00E2036D"/>
    <w:rsid w:val="00E22E8C"/>
    <w:rsid w:val="00E256BD"/>
    <w:rsid w:val="00E306FB"/>
    <w:rsid w:val="00E3319D"/>
    <w:rsid w:val="00E33F14"/>
    <w:rsid w:val="00E344EA"/>
    <w:rsid w:val="00E345D4"/>
    <w:rsid w:val="00E34ADD"/>
    <w:rsid w:val="00E353A8"/>
    <w:rsid w:val="00E36EF0"/>
    <w:rsid w:val="00E4075D"/>
    <w:rsid w:val="00E411E3"/>
    <w:rsid w:val="00E44476"/>
    <w:rsid w:val="00E45167"/>
    <w:rsid w:val="00E46BD3"/>
    <w:rsid w:val="00E471A9"/>
    <w:rsid w:val="00E5142B"/>
    <w:rsid w:val="00E51AE4"/>
    <w:rsid w:val="00E52F80"/>
    <w:rsid w:val="00E533B9"/>
    <w:rsid w:val="00E5541E"/>
    <w:rsid w:val="00E5555A"/>
    <w:rsid w:val="00E567E7"/>
    <w:rsid w:val="00E56CB5"/>
    <w:rsid w:val="00E570FB"/>
    <w:rsid w:val="00E62983"/>
    <w:rsid w:val="00E63D37"/>
    <w:rsid w:val="00E65257"/>
    <w:rsid w:val="00E66109"/>
    <w:rsid w:val="00E6659F"/>
    <w:rsid w:val="00E66A6E"/>
    <w:rsid w:val="00E67710"/>
    <w:rsid w:val="00E72B6D"/>
    <w:rsid w:val="00E72E61"/>
    <w:rsid w:val="00E73960"/>
    <w:rsid w:val="00E809C0"/>
    <w:rsid w:val="00E80C7B"/>
    <w:rsid w:val="00E814CD"/>
    <w:rsid w:val="00E84F72"/>
    <w:rsid w:val="00E86312"/>
    <w:rsid w:val="00E86B52"/>
    <w:rsid w:val="00E90BB8"/>
    <w:rsid w:val="00E91242"/>
    <w:rsid w:val="00E914FB"/>
    <w:rsid w:val="00E9324C"/>
    <w:rsid w:val="00E9542F"/>
    <w:rsid w:val="00EA0E03"/>
    <w:rsid w:val="00EA108A"/>
    <w:rsid w:val="00EA244F"/>
    <w:rsid w:val="00EA75DD"/>
    <w:rsid w:val="00EB0F82"/>
    <w:rsid w:val="00EB1529"/>
    <w:rsid w:val="00EB1D58"/>
    <w:rsid w:val="00EB47E7"/>
    <w:rsid w:val="00EB51DF"/>
    <w:rsid w:val="00EB5E23"/>
    <w:rsid w:val="00EB6DFA"/>
    <w:rsid w:val="00EB76F3"/>
    <w:rsid w:val="00EC21AA"/>
    <w:rsid w:val="00EC43F7"/>
    <w:rsid w:val="00EC718A"/>
    <w:rsid w:val="00ED0D60"/>
    <w:rsid w:val="00ED1EDF"/>
    <w:rsid w:val="00ED3169"/>
    <w:rsid w:val="00ED6D40"/>
    <w:rsid w:val="00EE11DE"/>
    <w:rsid w:val="00EE37BE"/>
    <w:rsid w:val="00EE388E"/>
    <w:rsid w:val="00EE47D0"/>
    <w:rsid w:val="00EE4FA3"/>
    <w:rsid w:val="00EE5B1D"/>
    <w:rsid w:val="00EE5F23"/>
    <w:rsid w:val="00EE60AF"/>
    <w:rsid w:val="00EE6D15"/>
    <w:rsid w:val="00EE6D54"/>
    <w:rsid w:val="00EE6E93"/>
    <w:rsid w:val="00EF3DF0"/>
    <w:rsid w:val="00EF4C1D"/>
    <w:rsid w:val="00EF527F"/>
    <w:rsid w:val="00EF5B2E"/>
    <w:rsid w:val="00F00232"/>
    <w:rsid w:val="00F0149A"/>
    <w:rsid w:val="00F01BC0"/>
    <w:rsid w:val="00F042F2"/>
    <w:rsid w:val="00F04F5E"/>
    <w:rsid w:val="00F05FA5"/>
    <w:rsid w:val="00F07A41"/>
    <w:rsid w:val="00F07AD8"/>
    <w:rsid w:val="00F112F4"/>
    <w:rsid w:val="00F11E05"/>
    <w:rsid w:val="00F13D5D"/>
    <w:rsid w:val="00F145F8"/>
    <w:rsid w:val="00F1473B"/>
    <w:rsid w:val="00F15348"/>
    <w:rsid w:val="00F1670F"/>
    <w:rsid w:val="00F1712E"/>
    <w:rsid w:val="00F17633"/>
    <w:rsid w:val="00F17A22"/>
    <w:rsid w:val="00F2542C"/>
    <w:rsid w:val="00F32159"/>
    <w:rsid w:val="00F3408B"/>
    <w:rsid w:val="00F356B1"/>
    <w:rsid w:val="00F35926"/>
    <w:rsid w:val="00F3617C"/>
    <w:rsid w:val="00F3736B"/>
    <w:rsid w:val="00F45C59"/>
    <w:rsid w:val="00F463E0"/>
    <w:rsid w:val="00F467C6"/>
    <w:rsid w:val="00F46C1A"/>
    <w:rsid w:val="00F46C7A"/>
    <w:rsid w:val="00F4710F"/>
    <w:rsid w:val="00F50609"/>
    <w:rsid w:val="00F51542"/>
    <w:rsid w:val="00F52725"/>
    <w:rsid w:val="00F5290E"/>
    <w:rsid w:val="00F5661C"/>
    <w:rsid w:val="00F56EA6"/>
    <w:rsid w:val="00F57900"/>
    <w:rsid w:val="00F602CA"/>
    <w:rsid w:val="00F61638"/>
    <w:rsid w:val="00F61A7A"/>
    <w:rsid w:val="00F649B6"/>
    <w:rsid w:val="00F65173"/>
    <w:rsid w:val="00F652E1"/>
    <w:rsid w:val="00F7050F"/>
    <w:rsid w:val="00F71E50"/>
    <w:rsid w:val="00F721CB"/>
    <w:rsid w:val="00F729C1"/>
    <w:rsid w:val="00F74A1E"/>
    <w:rsid w:val="00F764C6"/>
    <w:rsid w:val="00F76DFF"/>
    <w:rsid w:val="00F80663"/>
    <w:rsid w:val="00F80F1D"/>
    <w:rsid w:val="00F81594"/>
    <w:rsid w:val="00F84000"/>
    <w:rsid w:val="00F87573"/>
    <w:rsid w:val="00F901ED"/>
    <w:rsid w:val="00F915A3"/>
    <w:rsid w:val="00F9180E"/>
    <w:rsid w:val="00F93577"/>
    <w:rsid w:val="00F94D33"/>
    <w:rsid w:val="00F96645"/>
    <w:rsid w:val="00FA2985"/>
    <w:rsid w:val="00FA5915"/>
    <w:rsid w:val="00FA7B4E"/>
    <w:rsid w:val="00FB0769"/>
    <w:rsid w:val="00FB0BB4"/>
    <w:rsid w:val="00FB1CBB"/>
    <w:rsid w:val="00FB1F10"/>
    <w:rsid w:val="00FB2F9F"/>
    <w:rsid w:val="00FB30FD"/>
    <w:rsid w:val="00FB412F"/>
    <w:rsid w:val="00FB49C2"/>
    <w:rsid w:val="00FB5538"/>
    <w:rsid w:val="00FB7939"/>
    <w:rsid w:val="00FC0A46"/>
    <w:rsid w:val="00FC0D02"/>
    <w:rsid w:val="00FC0E25"/>
    <w:rsid w:val="00FC2B39"/>
    <w:rsid w:val="00FC43A0"/>
    <w:rsid w:val="00FC5643"/>
    <w:rsid w:val="00FC6EFC"/>
    <w:rsid w:val="00FC7FB7"/>
    <w:rsid w:val="00FD3804"/>
    <w:rsid w:val="00FD4119"/>
    <w:rsid w:val="00FD6BE4"/>
    <w:rsid w:val="00FD72A6"/>
    <w:rsid w:val="00FE0889"/>
    <w:rsid w:val="00FE1A14"/>
    <w:rsid w:val="00FE2CDD"/>
    <w:rsid w:val="00FE33A1"/>
    <w:rsid w:val="00FE42EF"/>
    <w:rsid w:val="00FE47C5"/>
    <w:rsid w:val="00FE4AC7"/>
    <w:rsid w:val="00FF0AE6"/>
    <w:rsid w:val="00FF2800"/>
    <w:rsid w:val="00FF2886"/>
    <w:rsid w:val="00FF376E"/>
    <w:rsid w:val="00FF489F"/>
    <w:rsid w:val="00FF67B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673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64"/>
  </w:style>
  <w:style w:type="paragraph" w:styleId="Heading2">
    <w:name w:val="heading 2"/>
    <w:basedOn w:val="Normal"/>
    <w:link w:val="Heading2Char"/>
    <w:uiPriority w:val="1"/>
    <w:qFormat/>
    <w:rsid w:val="00AE2CCF"/>
    <w:pPr>
      <w:widowControl w:val="0"/>
      <w:autoSpaceDE w:val="0"/>
      <w:autoSpaceDN w:val="0"/>
      <w:ind w:left="2190"/>
      <w:outlineLvl w:val="1"/>
    </w:pPr>
    <w:rPr>
      <w:rFonts w:ascii="Arial" w:eastAsia="Arial" w:hAnsi="Arial" w:cs="Arial"/>
      <w:b/>
      <w:bCs/>
      <w:sz w:val="19"/>
      <w:szCs w:val="19"/>
    </w:rPr>
  </w:style>
  <w:style w:type="paragraph" w:styleId="Heading4">
    <w:name w:val="heading 4"/>
    <w:basedOn w:val="Normal"/>
    <w:next w:val="Normal"/>
    <w:link w:val="Heading4Char"/>
    <w:uiPriority w:val="9"/>
    <w:semiHidden/>
    <w:unhideWhenUsed/>
    <w:qFormat/>
    <w:rsid w:val="00D44C0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44C0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4C0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4458"/>
    <w:pPr>
      <w:ind w:left="720"/>
      <w:contextualSpacing/>
    </w:pPr>
  </w:style>
  <w:style w:type="table" w:styleId="TableGrid">
    <w:name w:val="Table Grid"/>
    <w:basedOn w:val="TableNormal"/>
    <w:uiPriority w:val="59"/>
    <w:rsid w:val="00D737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2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983"/>
    <w:rPr>
      <w:rFonts w:ascii="Segoe UI" w:hAnsi="Segoe UI" w:cs="Segoe UI"/>
      <w:sz w:val="18"/>
      <w:szCs w:val="18"/>
    </w:rPr>
  </w:style>
  <w:style w:type="character" w:customStyle="1" w:styleId="Heading2Char">
    <w:name w:val="Heading 2 Char"/>
    <w:basedOn w:val="DefaultParagraphFont"/>
    <w:link w:val="Heading2"/>
    <w:uiPriority w:val="1"/>
    <w:rsid w:val="00AE2CCF"/>
    <w:rPr>
      <w:rFonts w:ascii="Arial" w:eastAsia="Arial" w:hAnsi="Arial" w:cs="Arial"/>
      <w:b/>
      <w:bCs/>
      <w:sz w:val="19"/>
      <w:szCs w:val="19"/>
    </w:rPr>
  </w:style>
  <w:style w:type="paragraph" w:styleId="BodyText">
    <w:name w:val="Body Text"/>
    <w:basedOn w:val="Normal"/>
    <w:link w:val="BodyTextChar"/>
    <w:uiPriority w:val="1"/>
    <w:qFormat/>
    <w:rsid w:val="00AE2CCF"/>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AE2CCF"/>
    <w:rPr>
      <w:rFonts w:ascii="Arial" w:eastAsia="Arial" w:hAnsi="Arial" w:cs="Arial"/>
      <w:sz w:val="19"/>
      <w:szCs w:val="19"/>
    </w:rPr>
  </w:style>
  <w:style w:type="paragraph" w:styleId="Header">
    <w:name w:val="header"/>
    <w:basedOn w:val="Normal"/>
    <w:link w:val="HeaderChar"/>
    <w:uiPriority w:val="99"/>
    <w:unhideWhenUsed/>
    <w:rsid w:val="007E4672"/>
    <w:pPr>
      <w:tabs>
        <w:tab w:val="center" w:pos="4513"/>
        <w:tab w:val="right" w:pos="9026"/>
      </w:tabs>
    </w:pPr>
  </w:style>
  <w:style w:type="character" w:customStyle="1" w:styleId="HeaderChar">
    <w:name w:val="Header Char"/>
    <w:basedOn w:val="DefaultParagraphFont"/>
    <w:link w:val="Header"/>
    <w:uiPriority w:val="99"/>
    <w:rsid w:val="007E4672"/>
  </w:style>
  <w:style w:type="paragraph" w:styleId="Footer">
    <w:name w:val="footer"/>
    <w:basedOn w:val="Normal"/>
    <w:link w:val="FooterChar"/>
    <w:uiPriority w:val="99"/>
    <w:unhideWhenUsed/>
    <w:rsid w:val="007E4672"/>
    <w:pPr>
      <w:tabs>
        <w:tab w:val="center" w:pos="4513"/>
        <w:tab w:val="right" w:pos="9026"/>
      </w:tabs>
    </w:pPr>
  </w:style>
  <w:style w:type="character" w:customStyle="1" w:styleId="FooterChar">
    <w:name w:val="Footer Char"/>
    <w:basedOn w:val="DefaultParagraphFont"/>
    <w:link w:val="Footer"/>
    <w:uiPriority w:val="99"/>
    <w:rsid w:val="007E4672"/>
  </w:style>
  <w:style w:type="character" w:styleId="PageNumber">
    <w:name w:val="page number"/>
    <w:basedOn w:val="DefaultParagraphFont"/>
    <w:uiPriority w:val="99"/>
    <w:semiHidden/>
    <w:unhideWhenUsed/>
    <w:rsid w:val="007E4672"/>
  </w:style>
  <w:style w:type="character" w:styleId="PlaceholderText">
    <w:name w:val="Placeholder Text"/>
    <w:basedOn w:val="DefaultParagraphFont"/>
    <w:uiPriority w:val="99"/>
    <w:semiHidden/>
    <w:rsid w:val="005239ED"/>
    <w:rPr>
      <w:color w:val="808080"/>
    </w:rPr>
  </w:style>
  <w:style w:type="paragraph" w:customStyle="1" w:styleId="TableParagraph">
    <w:name w:val="Table Paragraph"/>
    <w:basedOn w:val="Normal"/>
    <w:uiPriority w:val="1"/>
    <w:qFormat/>
    <w:rsid w:val="00D22CED"/>
    <w:pPr>
      <w:widowControl w:val="0"/>
      <w:autoSpaceDE w:val="0"/>
      <w:autoSpaceDN w:val="0"/>
      <w:spacing w:before="16"/>
      <w:jc w:val="center"/>
    </w:pPr>
    <w:rPr>
      <w:rFonts w:ascii="Arial" w:eastAsia="Arial" w:hAnsi="Arial" w:cs="Arial"/>
      <w:sz w:val="22"/>
      <w:szCs w:val="22"/>
    </w:rPr>
  </w:style>
  <w:style w:type="character" w:customStyle="1" w:styleId="Heading4Char">
    <w:name w:val="Heading 4 Char"/>
    <w:basedOn w:val="DefaultParagraphFont"/>
    <w:link w:val="Heading4"/>
    <w:uiPriority w:val="9"/>
    <w:semiHidden/>
    <w:rsid w:val="00D44C0B"/>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D44C0B"/>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rsid w:val="00D44C0B"/>
    <w:rPr>
      <w:rFonts w:asciiTheme="majorHAnsi" w:eastAsiaTheme="majorEastAsia" w:hAnsiTheme="majorHAnsi" w:cstheme="majorBidi"/>
      <w:color w:val="365F91" w:themeColor="accent1" w:themeShade="BF"/>
    </w:rPr>
  </w:style>
  <w:style w:type="paragraph" w:styleId="DocumentMap">
    <w:name w:val="Document Map"/>
    <w:basedOn w:val="Normal"/>
    <w:link w:val="DocumentMapChar"/>
    <w:uiPriority w:val="99"/>
    <w:semiHidden/>
    <w:unhideWhenUsed/>
    <w:rsid w:val="00647092"/>
    <w:rPr>
      <w:rFonts w:ascii="Times New Roman" w:hAnsi="Times New Roman" w:cs="Times New Roman"/>
    </w:rPr>
  </w:style>
  <w:style w:type="character" w:customStyle="1" w:styleId="DocumentMapChar">
    <w:name w:val="Document Map Char"/>
    <w:basedOn w:val="DefaultParagraphFont"/>
    <w:link w:val="DocumentMap"/>
    <w:uiPriority w:val="99"/>
    <w:semiHidden/>
    <w:rsid w:val="00647092"/>
    <w:rPr>
      <w:rFonts w:ascii="Times New Roman" w:hAnsi="Times New Roman" w:cs="Times New Roman"/>
    </w:rPr>
  </w:style>
  <w:style w:type="paragraph" w:styleId="Quote">
    <w:name w:val="Quote"/>
    <w:basedOn w:val="ListParagraph"/>
    <w:next w:val="Normal"/>
    <w:link w:val="QuoteChar"/>
    <w:uiPriority w:val="29"/>
    <w:qFormat/>
    <w:rsid w:val="00D34E59"/>
    <w:pPr>
      <w:ind w:hanging="11"/>
    </w:pPr>
    <w:rPr>
      <w:rFonts w:ascii="Arial" w:hAnsi="Arial"/>
      <w:sz w:val="20"/>
      <w:szCs w:val="20"/>
      <w:lang w:val="en-AU"/>
    </w:rPr>
  </w:style>
  <w:style w:type="character" w:customStyle="1" w:styleId="QuoteChar">
    <w:name w:val="Quote Char"/>
    <w:basedOn w:val="DefaultParagraphFont"/>
    <w:link w:val="Quote"/>
    <w:uiPriority w:val="29"/>
    <w:rsid w:val="00D34E59"/>
    <w:rPr>
      <w:rFonts w:ascii="Arial" w:hAnsi="Arial"/>
      <w:sz w:val="20"/>
      <w:szCs w:val="20"/>
      <w:lang w:val="en-AU"/>
    </w:rPr>
  </w:style>
  <w:style w:type="character" w:styleId="Strong">
    <w:name w:val="Strong"/>
    <w:basedOn w:val="DefaultParagraphFont"/>
    <w:uiPriority w:val="22"/>
    <w:qFormat/>
    <w:rsid w:val="005141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0638">
      <w:bodyDiv w:val="1"/>
      <w:marLeft w:val="0"/>
      <w:marRight w:val="0"/>
      <w:marTop w:val="0"/>
      <w:marBottom w:val="0"/>
      <w:divBdr>
        <w:top w:val="none" w:sz="0" w:space="0" w:color="auto"/>
        <w:left w:val="none" w:sz="0" w:space="0" w:color="auto"/>
        <w:bottom w:val="none" w:sz="0" w:space="0" w:color="auto"/>
        <w:right w:val="none" w:sz="0" w:space="0" w:color="auto"/>
      </w:divBdr>
    </w:div>
    <w:div w:id="1557856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72DB0A-7C4A-41C7-B8CC-3C2C1C7A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1794</Words>
  <Characters>10232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Screenrights</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dc:creator>
  <cp:keywords/>
  <cp:lastModifiedBy>Susan Jenkins</cp:lastModifiedBy>
  <cp:revision>2</cp:revision>
  <cp:lastPrinted>2020-10-26T04:12:00Z</cp:lastPrinted>
  <dcterms:created xsi:type="dcterms:W3CDTF">2020-10-30T02:52:00Z</dcterms:created>
  <dcterms:modified xsi:type="dcterms:W3CDTF">2020-10-30T02:52:00Z</dcterms:modified>
</cp:coreProperties>
</file>